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4"/>
        <w:jc w:val="both"/>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mc:AlternateContent>
          <mc:Choice Requires="wps">
            <w:drawing>
              <wp:anchor behindDoc="1" distT="10160" distB="8890" distL="9525" distR="9525" simplePos="0" locked="0" layoutInCell="0" allowOverlap="1" relativeHeight="2" wp14:anchorId="5D8FE1A3">
                <wp:simplePos x="0" y="0"/>
                <wp:positionH relativeFrom="column">
                  <wp:posOffset>6475095</wp:posOffset>
                </wp:positionH>
                <wp:positionV relativeFrom="paragraph">
                  <wp:posOffset>-1905</wp:posOffset>
                </wp:positionV>
                <wp:extent cx="3610610" cy="9197975"/>
                <wp:effectExtent l="9525" t="10160" r="9525" b="8890"/>
                <wp:wrapNone/>
                <wp:docPr id="1" name="Прямоугольник 27"/>
                <a:graphic xmlns:a="http://schemas.openxmlformats.org/drawingml/2006/main">
                  <a:graphicData uri="http://schemas.microsoft.com/office/word/2010/wordprocessingShape">
                    <wps:wsp>
                      <wps:cNvSpPr/>
                      <wps:spPr>
                        <a:xfrm>
                          <a:off x="0" y="0"/>
                          <a:ext cx="3610440" cy="9198000"/>
                        </a:xfrm>
                        <a:prstGeom prst="rect">
                          <a:avLst/>
                        </a:prstGeom>
                        <a:solidFill>
                          <a:srgbClr val="ffffff"/>
                        </a:solidFill>
                        <a:ln w="19050">
                          <a:solidFill>
                            <a:srgbClr val="0000ff"/>
                          </a:solidFill>
                          <a:prstDash val="dash"/>
                          <a:miter/>
                        </a:ln>
                      </wps:spPr>
                      <wps:style>
                        <a:lnRef idx="0"/>
                        <a:fillRef idx="0"/>
                        <a:effectRef idx="0"/>
                        <a:fontRef idx="minor"/>
                      </wps:style>
                      <wps:bodyPr/>
                    </wps:wsp>
                  </a:graphicData>
                </a:graphic>
              </wp:anchor>
            </w:drawing>
          </mc:Choice>
          <mc:Fallback>
            <w:pict>
              <v:rect id="shape_0" ID="Прямоугольник 27" path="m0,0l-2147483645,0l-2147483645,-2147483646l0,-2147483646xe" fillcolor="white" stroked="t" o:allowincell="f" style="position:absolute;margin-left:509.85pt;margin-top:-0.15pt;width:284.25pt;height:724.2pt;mso-wrap-style:none;v-text-anchor:middle" wp14:anchorId="5D8FE1A3">
                <v:fill o:detectmouseclick="t" type="solid" color2="black"/>
                <v:stroke color="blue" weight="19080" dashstyle="dash" joinstyle="miter" endcap="flat"/>
                <w10:wrap type="none"/>
              </v:rect>
            </w:pict>
          </mc:Fallback>
        </mc:AlternateContent>
        <mc:AlternateContent>
          <mc:Choice Requires="wps">
            <w:drawing>
              <wp:anchor behindDoc="0" distT="1270" distB="0" distL="0" distR="0" simplePos="0" locked="0" layoutInCell="0" allowOverlap="1" relativeHeight="3" wp14:anchorId="131506C3">
                <wp:simplePos x="0" y="0"/>
                <wp:positionH relativeFrom="column">
                  <wp:posOffset>2844800</wp:posOffset>
                </wp:positionH>
                <wp:positionV relativeFrom="paragraph">
                  <wp:posOffset>675640</wp:posOffset>
                </wp:positionV>
                <wp:extent cx="431165" cy="146685"/>
                <wp:effectExtent l="0" t="1270" r="0" b="0"/>
                <wp:wrapNone/>
                <wp:docPr id="2" name="Поле 10"/>
                <a:graphic xmlns:a="http://schemas.openxmlformats.org/drawingml/2006/main">
                  <a:graphicData uri="http://schemas.microsoft.com/office/word/2010/wordprocessingShape">
                    <wps:wsp>
                      <wps:cNvSpPr/>
                      <wps:spPr>
                        <a:xfrm>
                          <a:off x="0" y="0"/>
                          <a:ext cx="431280" cy="146520"/>
                        </a:xfrm>
                        <a:prstGeom prst="rect">
                          <a:avLst/>
                        </a:prstGeom>
                        <a:noFill/>
                        <a:ln w="0">
                          <a:noFill/>
                        </a:ln>
                      </wps:spPr>
                      <wps:style>
                        <a:lnRef idx="0"/>
                        <a:fillRef idx="0"/>
                        <a:effectRef idx="0"/>
                        <a:fontRef idx="minor"/>
                      </wps:style>
                      <wps:txbx>
                        <w:txbxContent>
                          <w:p>
                            <w:pPr>
                              <w:pStyle w:val="Style28"/>
                              <w:rPr>
                                <w:color w:val="000000"/>
                              </w:rPr>
                            </w:pPr>
                            <w:r>
                              <w:rPr>
                                <w:color w:val="000000"/>
                              </w:rPr>
                            </w:r>
                          </w:p>
                        </w:txbxContent>
                      </wps:txbx>
                      <wps:bodyPr lIns="0" rIns="0" tIns="0" bIns="0" anchor="t" upright="1">
                        <a:noAutofit/>
                      </wps:bodyPr>
                    </wps:wsp>
                  </a:graphicData>
                </a:graphic>
              </wp:anchor>
            </w:drawing>
          </mc:Choice>
          <mc:Fallback>
            <w:pict>
              <v:rect id="shape_0" ID="Поле 10" path="m0,0l-2147483645,0l-2147483645,-2147483646l0,-2147483646xe" stroked="f" o:allowincell="f" style="position:absolute;margin-left:224pt;margin-top:53.2pt;width:33.9pt;height:11.5pt;mso-wrap-style:none;v-text-anchor:middle" wp14:anchorId="131506C3">
                <v:fill o:detectmouseclick="t" on="false"/>
                <v:stroke color="#3465a4" joinstyle="round" endcap="flat"/>
                <v:textbox>
                  <w:txbxContent>
                    <w:p>
                      <w:pPr>
                        <w:pStyle w:val="Style28"/>
                        <w:rPr>
                          <w:color w:val="000000"/>
                        </w:rPr>
                      </w:pPr>
                      <w:r>
                        <w:rPr>
                          <w:color w:val="000000"/>
                        </w:rPr>
                      </w:r>
                    </w:p>
                  </w:txbxContent>
                </v:textbox>
                <w10:wrap type="none"/>
              </v:rect>
            </w:pict>
          </mc:Fallback>
        </mc:AlternateContent>
        <mc:AlternateContent>
          <mc:Choice Requires="wps">
            <w:drawing>
              <wp:anchor behindDoc="0" distT="635" distB="0" distL="0" distR="0" simplePos="0" locked="0" layoutInCell="0" allowOverlap="1" relativeHeight="5" wp14:anchorId="3008C78B">
                <wp:simplePos x="0" y="0"/>
                <wp:positionH relativeFrom="column">
                  <wp:posOffset>3360420</wp:posOffset>
                </wp:positionH>
                <wp:positionV relativeFrom="paragraph">
                  <wp:posOffset>17780</wp:posOffset>
                </wp:positionV>
                <wp:extent cx="219710" cy="644525"/>
                <wp:effectExtent l="0" t="635" r="0" b="0"/>
                <wp:wrapNone/>
                <wp:docPr id="4" name="Поле 9"/>
                <a:graphic xmlns:a="http://schemas.openxmlformats.org/drawingml/2006/main">
                  <a:graphicData uri="http://schemas.microsoft.com/office/word/2010/wordprocessingShape">
                    <wps:wsp>
                      <wps:cNvSpPr/>
                      <wps:spPr>
                        <a:xfrm>
                          <a:off x="0" y="0"/>
                          <a:ext cx="219600" cy="644400"/>
                        </a:xfrm>
                        <a:prstGeom prst="rect">
                          <a:avLst/>
                        </a:prstGeom>
                        <a:noFill/>
                        <a:ln w="0">
                          <a:noFill/>
                        </a:ln>
                      </wps:spPr>
                      <wps:style>
                        <a:lnRef idx="0"/>
                        <a:fillRef idx="0"/>
                        <a:effectRef idx="0"/>
                        <a:fontRef idx="minor"/>
                      </wps:style>
                      <wps:txbx>
                        <w:txbxContent>
                          <w:p>
                            <w:pPr>
                              <w:pStyle w:val="Style28"/>
                              <w:rPr>
                                <w:color w:val="000000"/>
                              </w:rPr>
                            </w:pPr>
                            <w:r>
                              <w:rPr>
                                <w:color w:val="000000"/>
                              </w:rPr>
                            </w:r>
                          </w:p>
                        </w:txbxContent>
                      </wps:txbx>
                      <wps:bodyPr lIns="0" rIns="0" tIns="0" bIns="0" anchor="t" vert="vert270" upright="1">
                        <a:noAutofit/>
                      </wps:bodyPr>
                    </wps:wsp>
                  </a:graphicData>
                </a:graphic>
              </wp:anchor>
            </w:drawing>
          </mc:Choice>
          <mc:Fallback>
            <w:pict>
              <v:rect id="shape_0" ID="Поле 9" path="m0,0l-2147483645,0l-2147483645,-2147483646l0,-2147483646xe" stroked="f" o:allowincell="f" style="position:absolute;margin-left:264.6pt;margin-top:1.4pt;width:17.25pt;height:50.7pt;mso-wrap-style:none;v-text-anchor:middle" wp14:anchorId="3008C78B">
                <v:fill o:detectmouseclick="t" on="false"/>
                <v:stroke color="#3465a4" joinstyle="round" endcap="flat"/>
                <v:textbox style="mso-layout-flow-alt:bottom-to-top">
                  <w:txbxContent>
                    <w:p>
                      <w:pPr>
                        <w:pStyle w:val="Style28"/>
                        <w:rPr>
                          <w:color w:val="000000"/>
                        </w:rPr>
                      </w:pPr>
                      <w:r>
                        <w:rPr>
                          <w:color w:val="000000"/>
                        </w:rPr>
                      </w:r>
                    </w:p>
                  </w:txbxContent>
                </v:textbox>
                <w10:wrap type="none"/>
              </v:rect>
            </w:pict>
          </mc:Fallback>
        </mc:AlternateContent>
        <w:drawing>
          <wp:anchor behindDoc="0" distT="0" distB="0" distL="114300" distR="114300" simplePos="0" locked="0" layoutInCell="0" allowOverlap="1" relativeHeight="13">
            <wp:simplePos x="0" y="0"/>
            <wp:positionH relativeFrom="column">
              <wp:posOffset>2743200</wp:posOffset>
            </wp:positionH>
            <wp:positionV relativeFrom="paragraph">
              <wp:posOffset>635</wp:posOffset>
            </wp:positionV>
            <wp:extent cx="485140" cy="650875"/>
            <wp:effectExtent l="0" t="0" r="0" b="0"/>
            <wp:wrapTight wrapText="bothSides">
              <wp:wrapPolygon edited="0">
                <wp:start x="16" y="24"/>
                <wp:lineTo x="16" y="50"/>
                <wp:lineTo x="16" y="76"/>
                <wp:lineTo x="16" y="102"/>
                <wp:lineTo x="16" y="128"/>
                <wp:lineTo x="16" y="154"/>
                <wp:lineTo x="16" y="180"/>
                <wp:lineTo x="16" y="206"/>
                <wp:lineTo x="16" y="232"/>
                <wp:lineTo x="16" y="258"/>
                <wp:lineTo x="16" y="284"/>
                <wp:lineTo x="16" y="310"/>
                <wp:lineTo x="16" y="337"/>
                <wp:lineTo x="16" y="363"/>
                <wp:lineTo x="16" y="389"/>
                <wp:lineTo x="16" y="415"/>
                <wp:lineTo x="16" y="441"/>
                <wp:lineTo x="16" y="467"/>
                <wp:lineTo x="16" y="493"/>
                <wp:lineTo x="16" y="519"/>
                <wp:lineTo x="16" y="545"/>
                <wp:lineTo x="16" y="571"/>
                <wp:lineTo x="16" y="597"/>
                <wp:lineTo x="16" y="623"/>
                <wp:lineTo x="16" y="649"/>
                <wp:lineTo x="16" y="675"/>
                <wp:lineTo x="16" y="701"/>
                <wp:lineTo x="16" y="727"/>
                <wp:lineTo x="16" y="753"/>
                <wp:lineTo x="16" y="779"/>
                <wp:lineTo x="16" y="805"/>
                <wp:lineTo x="16" y="831"/>
                <wp:lineTo x="16" y="857"/>
                <wp:lineTo x="16" y="883"/>
                <wp:lineTo x="16" y="909"/>
                <wp:lineTo x="16" y="935"/>
                <wp:lineTo x="16" y="961"/>
                <wp:lineTo x="16" y="987"/>
                <wp:lineTo x="16" y="1013"/>
                <wp:lineTo x="16" y="1039"/>
                <wp:lineTo x="16" y="1065"/>
                <wp:lineTo x="16" y="1091"/>
                <wp:lineTo x="16" y="1117"/>
                <wp:lineTo x="16" y="1142"/>
                <wp:lineTo x="16" y="1168"/>
                <wp:lineTo x="16" y="1194"/>
                <wp:lineTo x="16" y="1220"/>
                <wp:lineTo x="16" y="1247"/>
                <wp:lineTo x="16" y="1273"/>
                <wp:lineTo x="16" y="1299"/>
                <wp:lineTo x="16" y="1325"/>
                <wp:lineTo x="16" y="1351"/>
                <wp:lineTo x="16" y="1377"/>
                <wp:lineTo x="16" y="1403"/>
                <wp:lineTo x="16" y="1429"/>
                <wp:lineTo x="16" y="1454"/>
                <wp:lineTo x="16" y="1480"/>
                <wp:lineTo x="16" y="1506"/>
                <wp:lineTo x="16" y="1532"/>
                <wp:lineTo x="16" y="1559"/>
                <wp:lineTo x="16" y="1585"/>
                <wp:lineTo x="16" y="1611"/>
                <wp:lineTo x="16" y="1637"/>
                <wp:lineTo x="16" y="1663"/>
                <wp:lineTo x="16" y="1689"/>
                <wp:lineTo x="16" y="1715"/>
                <wp:lineTo x="16" y="1741"/>
                <wp:lineTo x="16" y="1767"/>
                <wp:lineTo x="16" y="1793"/>
                <wp:lineTo x="16" y="1819"/>
                <wp:lineTo x="16" y="1845"/>
                <wp:lineTo x="16" y="1871"/>
                <wp:lineTo x="16" y="1897"/>
                <wp:lineTo x="16" y="1923"/>
                <wp:lineTo x="16" y="1949"/>
                <wp:lineTo x="16" y="1975"/>
                <wp:lineTo x="16" y="2001"/>
                <wp:lineTo x="16" y="2027"/>
                <wp:lineTo x="16" y="2053"/>
                <wp:lineTo x="16" y="2079"/>
                <wp:lineTo x="16" y="2105"/>
                <wp:lineTo x="16" y="2131"/>
                <wp:lineTo x="16" y="2158"/>
                <wp:lineTo x="16" y="2183"/>
                <wp:lineTo x="16" y="2209"/>
                <wp:lineTo x="16" y="2235"/>
                <wp:lineTo x="16" y="2261"/>
                <wp:lineTo x="16" y="2286"/>
                <wp:lineTo x="16" y="2312"/>
                <wp:lineTo x="16" y="2338"/>
                <wp:lineTo x="16" y="2364"/>
                <wp:lineTo x="16" y="2390"/>
                <wp:lineTo x="16" y="2416"/>
                <wp:lineTo x="16" y="2442"/>
                <wp:lineTo x="16" y="2468"/>
                <wp:lineTo x="16" y="2495"/>
                <wp:lineTo x="16" y="2521"/>
                <wp:lineTo x="16" y="2547"/>
                <wp:lineTo x="16" y="2573"/>
                <wp:lineTo x="16" y="2599"/>
                <wp:lineTo x="16" y="2625"/>
                <wp:lineTo x="16" y="2651"/>
                <wp:lineTo x="16" y="2677"/>
                <wp:lineTo x="16" y="2703"/>
                <wp:lineTo x="16" y="2729"/>
                <wp:lineTo x="16" y="2755"/>
                <wp:lineTo x="16" y="2781"/>
                <wp:lineTo x="16" y="2807"/>
                <wp:lineTo x="16" y="2833"/>
                <wp:lineTo x="16" y="2859"/>
                <wp:lineTo x="16" y="2885"/>
                <wp:lineTo x="16" y="2911"/>
                <wp:lineTo x="16" y="2937"/>
                <wp:lineTo x="16" y="2963"/>
                <wp:lineTo x="16" y="2989"/>
                <wp:lineTo x="16" y="3015"/>
                <wp:lineTo x="16" y="3041"/>
                <wp:lineTo x="16" y="3067"/>
                <wp:lineTo x="16" y="3093"/>
                <wp:lineTo x="16" y="3119"/>
                <wp:lineTo x="16" y="3145"/>
                <wp:lineTo x="16" y="3171"/>
                <wp:lineTo x="16" y="3197"/>
                <wp:lineTo x="16" y="3223"/>
                <wp:lineTo x="16" y="3249"/>
                <wp:lineTo x="16" y="3275"/>
                <wp:lineTo x="16" y="3301"/>
                <wp:lineTo x="16" y="3327"/>
                <wp:lineTo x="16" y="3353"/>
                <wp:lineTo x="16" y="3379"/>
                <wp:lineTo x="16" y="3406"/>
                <wp:lineTo x="16" y="3431"/>
                <wp:lineTo x="16" y="3457"/>
                <wp:lineTo x="16" y="3483"/>
                <wp:lineTo x="16" y="3509"/>
                <wp:lineTo x="16" y="3535"/>
                <wp:lineTo x="16" y="3561"/>
                <wp:lineTo x="16" y="3587"/>
                <wp:lineTo x="16" y="3612"/>
                <wp:lineTo x="16" y="3638"/>
                <wp:lineTo x="16" y="3664"/>
                <wp:lineTo x="16" y="3690"/>
                <wp:lineTo x="16" y="3717"/>
                <wp:lineTo x="16" y="3743"/>
                <wp:lineTo x="16" y="3769"/>
                <wp:lineTo x="16" y="3795"/>
                <wp:lineTo x="16" y="3821"/>
                <wp:lineTo x="16" y="3847"/>
                <wp:lineTo x="16" y="3873"/>
                <wp:lineTo x="16" y="3899"/>
                <wp:lineTo x="16" y="3925"/>
                <wp:lineTo x="16" y="3951"/>
                <wp:lineTo x="16" y="3977"/>
                <wp:lineTo x="16" y="4003"/>
                <wp:lineTo x="16" y="4029"/>
                <wp:lineTo x="16" y="4055"/>
                <wp:lineTo x="16" y="4081"/>
                <wp:lineTo x="16" y="4107"/>
                <wp:lineTo x="16" y="4133"/>
                <wp:lineTo x="16" y="4159"/>
                <wp:lineTo x="16" y="4185"/>
                <wp:lineTo x="16" y="4211"/>
                <wp:lineTo x="16" y="4237"/>
                <wp:lineTo x="16" y="4263"/>
                <wp:lineTo x="16" y="4289"/>
                <wp:lineTo x="16" y="4316"/>
                <wp:lineTo x="16" y="4341"/>
                <wp:lineTo x="16" y="4367"/>
                <wp:lineTo x="16" y="4393"/>
                <wp:lineTo x="16" y="4419"/>
                <wp:lineTo x="16" y="4445"/>
                <wp:lineTo x="16" y="4471"/>
                <wp:lineTo x="16" y="4497"/>
                <wp:lineTo x="16" y="4523"/>
                <wp:lineTo x="16" y="4548"/>
                <wp:lineTo x="16" y="4574"/>
                <wp:lineTo x="16" y="4600"/>
                <wp:lineTo x="16" y="4626"/>
                <wp:lineTo x="16" y="4653"/>
                <wp:lineTo x="16" y="4679"/>
                <wp:lineTo x="16" y="4705"/>
                <wp:lineTo x="16" y="4731"/>
                <wp:lineTo x="16" y="4757"/>
                <wp:lineTo x="16" y="4783"/>
                <wp:lineTo x="16" y="4809"/>
                <wp:lineTo x="16" y="4835"/>
                <wp:lineTo x="16" y="4861"/>
                <wp:lineTo x="16" y="4887"/>
                <wp:lineTo x="16" y="4913"/>
                <wp:lineTo x="16" y="4939"/>
                <wp:lineTo x="16" y="4965"/>
                <wp:lineTo x="16" y="4991"/>
                <wp:lineTo x="16" y="5017"/>
                <wp:lineTo x="16" y="5043"/>
                <wp:lineTo x="16" y="5069"/>
                <wp:lineTo x="16" y="5095"/>
                <wp:lineTo x="16" y="5121"/>
                <wp:lineTo x="16" y="5147"/>
                <wp:lineTo x="16" y="5173"/>
                <wp:lineTo x="16" y="5199"/>
                <wp:lineTo x="16" y="5225"/>
                <wp:lineTo x="16" y="5251"/>
                <wp:lineTo x="16" y="5277"/>
                <wp:lineTo x="16" y="5303"/>
                <wp:lineTo x="16" y="5329"/>
                <wp:lineTo x="16" y="5355"/>
                <wp:lineTo x="16" y="5381"/>
                <wp:lineTo x="16" y="5407"/>
                <wp:lineTo x="16" y="5433"/>
                <wp:lineTo x="16" y="5459"/>
                <wp:lineTo x="16" y="5485"/>
                <wp:lineTo x="16" y="5511"/>
                <wp:lineTo x="16" y="5537"/>
                <wp:lineTo x="16" y="5564"/>
                <wp:lineTo x="16" y="5590"/>
                <wp:lineTo x="16" y="5616"/>
                <wp:lineTo x="16" y="5642"/>
                <wp:lineTo x="16" y="5668"/>
                <wp:lineTo x="16" y="5693"/>
                <wp:lineTo x="16" y="5719"/>
                <wp:lineTo x="16" y="5745"/>
                <wp:lineTo x="16" y="5770"/>
                <wp:lineTo x="16" y="5796"/>
                <wp:lineTo x="16" y="5822"/>
                <wp:lineTo x="16" y="5848"/>
                <wp:lineTo x="16" y="5875"/>
                <wp:lineTo x="16" y="5901"/>
                <wp:lineTo x="16" y="5927"/>
                <wp:lineTo x="16" y="5953"/>
                <wp:lineTo x="16" y="5979"/>
                <wp:lineTo x="16" y="6005"/>
                <wp:lineTo x="16" y="6031"/>
                <wp:lineTo x="16" y="6057"/>
                <wp:lineTo x="16" y="6083"/>
                <wp:lineTo x="16" y="6109"/>
                <wp:lineTo x="16" y="6135"/>
                <wp:lineTo x="16" y="6161"/>
                <wp:lineTo x="51" y="6187"/>
                <wp:lineTo x="51" y="6213"/>
                <wp:lineTo x="51" y="6239"/>
                <wp:lineTo x="51" y="6265"/>
                <wp:lineTo x="51" y="6291"/>
                <wp:lineTo x="51" y="6317"/>
                <wp:lineTo x="51" y="6343"/>
                <wp:lineTo x="51" y="6369"/>
                <wp:lineTo x="51" y="6395"/>
                <wp:lineTo x="51" y="6421"/>
                <wp:lineTo x="51" y="6447"/>
                <wp:lineTo x="51" y="6474"/>
                <wp:lineTo x="51" y="6499"/>
                <wp:lineTo x="51" y="6525"/>
                <wp:lineTo x="51" y="6551"/>
                <wp:lineTo x="51" y="6577"/>
                <wp:lineTo x="51" y="6603"/>
                <wp:lineTo x="51" y="6629"/>
                <wp:lineTo x="51" y="6655"/>
                <wp:lineTo x="51" y="6681"/>
                <wp:lineTo x="51" y="6707"/>
                <wp:lineTo x="51" y="6733"/>
                <wp:lineTo x="51" y="6759"/>
                <wp:lineTo x="51" y="6785"/>
                <wp:lineTo x="51" y="6812"/>
                <wp:lineTo x="51" y="6837"/>
                <wp:lineTo x="51" y="6863"/>
                <wp:lineTo x="51" y="6889"/>
                <wp:lineTo x="51" y="6915"/>
                <wp:lineTo x="51" y="6941"/>
                <wp:lineTo x="51" y="6967"/>
                <wp:lineTo x="51" y="6993"/>
                <wp:lineTo x="51" y="7019"/>
                <wp:lineTo x="51" y="7045"/>
                <wp:lineTo x="51" y="7071"/>
                <wp:lineTo x="51" y="7097"/>
                <wp:lineTo x="51" y="7123"/>
                <wp:lineTo x="51" y="7149"/>
                <wp:lineTo x="51" y="7175"/>
                <wp:lineTo x="51" y="7201"/>
                <wp:lineTo x="51" y="7227"/>
                <wp:lineTo x="51" y="7253"/>
                <wp:lineTo x="51" y="7279"/>
                <wp:lineTo x="51" y="7305"/>
                <wp:lineTo x="51" y="7331"/>
                <wp:lineTo x="51" y="7357"/>
                <wp:lineTo x="51" y="7383"/>
                <wp:lineTo x="51" y="7409"/>
                <wp:lineTo x="51" y="7435"/>
                <wp:lineTo x="51" y="7461"/>
                <wp:lineTo x="51" y="7487"/>
                <wp:lineTo x="51" y="7513"/>
                <wp:lineTo x="51" y="7539"/>
                <wp:lineTo x="51" y="7565"/>
                <wp:lineTo x="51" y="7591"/>
                <wp:lineTo x="51" y="7617"/>
                <wp:lineTo x="51" y="7643"/>
                <wp:lineTo x="51" y="7669"/>
                <wp:lineTo x="51" y="7695"/>
                <wp:lineTo x="51" y="7722"/>
                <wp:lineTo x="51" y="7748"/>
                <wp:lineTo x="51" y="7774"/>
                <wp:lineTo x="51" y="7800"/>
                <wp:lineTo x="51" y="7826"/>
                <wp:lineTo x="51" y="7852"/>
                <wp:lineTo x="51" y="7878"/>
                <wp:lineTo x="51" y="7904"/>
                <wp:lineTo x="51" y="7929"/>
                <wp:lineTo x="51" y="7954"/>
                <wp:lineTo x="51" y="7980"/>
                <wp:lineTo x="51" y="8006"/>
                <wp:lineTo x="51" y="8033"/>
                <wp:lineTo x="51" y="8059"/>
                <wp:lineTo x="51" y="8085"/>
                <wp:lineTo x="51" y="8111"/>
                <wp:lineTo x="51" y="8137"/>
                <wp:lineTo x="51" y="8163"/>
                <wp:lineTo x="51" y="8189"/>
                <wp:lineTo x="51" y="8215"/>
                <wp:lineTo x="51" y="8241"/>
                <wp:lineTo x="51" y="8267"/>
                <wp:lineTo x="51" y="8293"/>
                <wp:lineTo x="51" y="8319"/>
                <wp:lineTo x="51" y="8345"/>
                <wp:lineTo x="51" y="8371"/>
                <wp:lineTo x="51" y="8397"/>
                <wp:lineTo x="51" y="8423"/>
                <wp:lineTo x="51" y="8449"/>
                <wp:lineTo x="51" y="8475"/>
                <wp:lineTo x="51" y="8501"/>
                <wp:lineTo x="51" y="8527"/>
                <wp:lineTo x="51" y="8553"/>
                <wp:lineTo x="51" y="8579"/>
                <wp:lineTo x="51" y="8605"/>
                <wp:lineTo x="51" y="8632"/>
                <wp:lineTo x="51" y="8657"/>
                <wp:lineTo x="51" y="8683"/>
                <wp:lineTo x="51" y="8709"/>
                <wp:lineTo x="51" y="8735"/>
                <wp:lineTo x="51" y="8761"/>
                <wp:lineTo x="51" y="8787"/>
                <wp:lineTo x="51" y="8813"/>
                <wp:lineTo x="51" y="8839"/>
                <wp:lineTo x="51" y="8865"/>
                <wp:lineTo x="51" y="8891"/>
                <wp:lineTo x="51" y="8917"/>
                <wp:lineTo x="51" y="8943"/>
                <wp:lineTo x="51" y="8970"/>
                <wp:lineTo x="51" y="8996"/>
                <wp:lineTo x="51" y="9022"/>
                <wp:lineTo x="51" y="9048"/>
                <wp:lineTo x="51" y="9074"/>
                <wp:lineTo x="51" y="9099"/>
                <wp:lineTo x="51" y="9125"/>
                <wp:lineTo x="51" y="9151"/>
                <wp:lineTo x="51" y="9177"/>
                <wp:lineTo x="51" y="9203"/>
                <wp:lineTo x="51" y="9229"/>
                <wp:lineTo x="51" y="9255"/>
                <wp:lineTo x="51" y="9281"/>
                <wp:lineTo x="51" y="9307"/>
                <wp:lineTo x="51" y="9333"/>
                <wp:lineTo x="51" y="9359"/>
                <wp:lineTo x="51" y="9385"/>
                <wp:lineTo x="51" y="9411"/>
                <wp:lineTo x="51" y="9437"/>
                <wp:lineTo x="51" y="9463"/>
                <wp:lineTo x="51" y="9489"/>
                <wp:lineTo x="51" y="9515"/>
                <wp:lineTo x="51" y="9541"/>
                <wp:lineTo x="51" y="9567"/>
                <wp:lineTo x="51" y="9593"/>
                <wp:lineTo x="51" y="9619"/>
                <wp:lineTo x="51" y="9645"/>
                <wp:lineTo x="51" y="9671"/>
                <wp:lineTo x="51" y="9697"/>
                <wp:lineTo x="51" y="9723"/>
                <wp:lineTo x="51" y="9749"/>
                <wp:lineTo x="51" y="9775"/>
                <wp:lineTo x="51" y="9801"/>
                <wp:lineTo x="51" y="9827"/>
                <wp:lineTo x="51" y="9853"/>
                <wp:lineTo x="51" y="9880"/>
                <wp:lineTo x="51" y="9906"/>
                <wp:lineTo x="51" y="9932"/>
                <wp:lineTo x="51" y="9958"/>
                <wp:lineTo x="51" y="9984"/>
                <wp:lineTo x="51" y="10010"/>
                <wp:lineTo x="51" y="10036"/>
                <wp:lineTo x="51" y="10062"/>
                <wp:lineTo x="51" y="10087"/>
                <wp:lineTo x="51" y="10113"/>
                <wp:lineTo x="51" y="10139"/>
                <wp:lineTo x="51" y="10165"/>
                <wp:lineTo x="51" y="10192"/>
                <wp:lineTo x="51" y="10218"/>
                <wp:lineTo x="51" y="10243"/>
                <wp:lineTo x="51" y="10269"/>
                <wp:lineTo x="51" y="10295"/>
                <wp:lineTo x="51" y="10321"/>
                <wp:lineTo x="51" y="10347"/>
                <wp:lineTo x="51" y="10373"/>
                <wp:lineTo x="51" y="10399"/>
                <wp:lineTo x="51" y="10425"/>
                <wp:lineTo x="51" y="10451"/>
                <wp:lineTo x="51" y="10477"/>
                <wp:lineTo x="51" y="10503"/>
                <wp:lineTo x="51" y="10529"/>
                <wp:lineTo x="51" y="10555"/>
                <wp:lineTo x="51" y="10581"/>
                <wp:lineTo x="51" y="10607"/>
                <wp:lineTo x="51" y="10633"/>
                <wp:lineTo x="51" y="10659"/>
                <wp:lineTo x="51" y="10685"/>
                <wp:lineTo x="51" y="10711"/>
                <wp:lineTo x="51" y="10737"/>
                <wp:lineTo x="51" y="10763"/>
                <wp:lineTo x="51" y="10790"/>
                <wp:lineTo x="51" y="10815"/>
                <wp:lineTo x="51" y="10841"/>
                <wp:lineTo x="51" y="10867"/>
                <wp:lineTo x="51" y="10893"/>
                <wp:lineTo x="51" y="10919"/>
                <wp:lineTo x="51" y="10945"/>
                <wp:lineTo x="51" y="10971"/>
                <wp:lineTo x="51" y="10997"/>
                <wp:lineTo x="51" y="11023"/>
                <wp:lineTo x="51" y="11049"/>
                <wp:lineTo x="51" y="11075"/>
                <wp:lineTo x="51" y="11101"/>
                <wp:lineTo x="51" y="11128"/>
                <wp:lineTo x="51" y="11154"/>
                <wp:lineTo x="51" y="11180"/>
                <wp:lineTo x="51" y="11206"/>
                <wp:lineTo x="51" y="11232"/>
                <wp:lineTo x="51" y="11258"/>
                <wp:lineTo x="51" y="11284"/>
                <wp:lineTo x="51" y="11310"/>
                <wp:lineTo x="51" y="11336"/>
                <wp:lineTo x="51" y="11361"/>
                <wp:lineTo x="51" y="11387"/>
                <wp:lineTo x="51" y="11413"/>
                <wp:lineTo x="51" y="11439"/>
                <wp:lineTo x="51" y="11465"/>
                <wp:lineTo x="51" y="11491"/>
                <wp:lineTo x="51" y="11517"/>
                <wp:lineTo x="51" y="11543"/>
                <wp:lineTo x="51" y="11569"/>
                <wp:lineTo x="51" y="11595"/>
                <wp:lineTo x="51" y="11621"/>
                <wp:lineTo x="51" y="11647"/>
                <wp:lineTo x="51" y="11673"/>
                <wp:lineTo x="51" y="11699"/>
                <wp:lineTo x="51" y="11725"/>
                <wp:lineTo x="51" y="11751"/>
                <wp:lineTo x="51" y="11777"/>
                <wp:lineTo x="51" y="11803"/>
                <wp:lineTo x="51" y="11829"/>
                <wp:lineTo x="51" y="11855"/>
                <wp:lineTo x="51" y="11881"/>
                <wp:lineTo x="51" y="11907"/>
                <wp:lineTo x="51" y="11933"/>
                <wp:lineTo x="51" y="11959"/>
                <wp:lineTo x="51" y="11985"/>
                <wp:lineTo x="51" y="12011"/>
                <wp:lineTo x="51" y="12038"/>
                <wp:lineTo x="51" y="12064"/>
                <wp:lineTo x="51" y="12090"/>
                <wp:lineTo x="51" y="12116"/>
                <wp:lineTo x="51" y="12142"/>
                <wp:lineTo x="51" y="12168"/>
                <wp:lineTo x="51" y="12194"/>
                <wp:lineTo x="51" y="12220"/>
                <wp:lineTo x="51" y="12245"/>
                <wp:lineTo x="51" y="12271"/>
                <wp:lineTo x="51" y="12297"/>
                <wp:lineTo x="51" y="12323"/>
                <wp:lineTo x="51" y="12350"/>
                <wp:lineTo x="51" y="12376"/>
                <wp:lineTo x="51" y="12402"/>
                <wp:lineTo x="51" y="12428"/>
                <wp:lineTo x="51" y="12454"/>
                <wp:lineTo x="51" y="12480"/>
                <wp:lineTo x="51" y="12505"/>
                <wp:lineTo x="51" y="12531"/>
                <wp:lineTo x="51" y="12557"/>
                <wp:lineTo x="51" y="12583"/>
                <wp:lineTo x="51" y="12609"/>
                <wp:lineTo x="51" y="12635"/>
                <wp:lineTo x="51" y="12661"/>
                <wp:lineTo x="51" y="12687"/>
                <wp:lineTo x="51" y="12713"/>
                <wp:lineTo x="51" y="12739"/>
                <wp:lineTo x="51" y="12765"/>
                <wp:lineTo x="51" y="12791"/>
                <wp:lineTo x="51" y="12817"/>
                <wp:lineTo x="51" y="12843"/>
                <wp:lineTo x="51" y="12869"/>
                <wp:lineTo x="51" y="12895"/>
                <wp:lineTo x="51" y="12921"/>
                <wp:lineTo x="51" y="12948"/>
                <wp:lineTo x="51" y="12973"/>
                <wp:lineTo x="51" y="12999"/>
                <wp:lineTo x="51" y="13025"/>
                <wp:lineTo x="51" y="13051"/>
                <wp:lineTo x="51" y="13077"/>
                <wp:lineTo x="51" y="13103"/>
                <wp:lineTo x="51" y="13129"/>
                <wp:lineTo x="51" y="13155"/>
                <wp:lineTo x="51" y="13181"/>
                <wp:lineTo x="51" y="13207"/>
                <wp:lineTo x="51" y="13233"/>
                <wp:lineTo x="51" y="13259"/>
                <wp:lineTo x="51" y="13286"/>
                <wp:lineTo x="51" y="13312"/>
                <wp:lineTo x="51" y="13338"/>
                <wp:lineTo x="51" y="13364"/>
                <wp:lineTo x="51" y="13390"/>
                <wp:lineTo x="51" y="13416"/>
                <wp:lineTo x="51" y="13442"/>
                <wp:lineTo x="51" y="13468"/>
                <wp:lineTo x="51" y="13494"/>
                <wp:lineTo x="51" y="13520"/>
                <wp:lineTo x="51" y="13546"/>
                <wp:lineTo x="51" y="13572"/>
                <wp:lineTo x="51" y="13598"/>
                <wp:lineTo x="51" y="13624"/>
                <wp:lineTo x="51" y="13649"/>
                <wp:lineTo x="51" y="13675"/>
                <wp:lineTo x="51" y="13701"/>
                <wp:lineTo x="51" y="13727"/>
                <wp:lineTo x="51" y="13753"/>
                <wp:lineTo x="51" y="13779"/>
                <wp:lineTo x="51" y="13805"/>
                <wp:lineTo x="51" y="13831"/>
                <wp:lineTo x="51" y="13857"/>
                <wp:lineTo x="51" y="13883"/>
                <wp:lineTo x="51" y="13909"/>
                <wp:lineTo x="51" y="13935"/>
                <wp:lineTo x="51" y="13961"/>
                <wp:lineTo x="51" y="13987"/>
                <wp:lineTo x="51" y="14013"/>
                <wp:lineTo x="51" y="14039"/>
                <wp:lineTo x="51" y="14065"/>
                <wp:lineTo x="51" y="14091"/>
                <wp:lineTo x="51" y="14117"/>
                <wp:lineTo x="51" y="14143"/>
                <wp:lineTo x="51" y="14169"/>
                <wp:lineTo x="51" y="14196"/>
                <wp:lineTo x="51" y="14222"/>
                <wp:lineTo x="51" y="14248"/>
                <wp:lineTo x="51" y="14274"/>
                <wp:lineTo x="51" y="14300"/>
                <wp:lineTo x="51" y="14326"/>
                <wp:lineTo x="51" y="14352"/>
                <wp:lineTo x="51" y="14378"/>
                <wp:lineTo x="51" y="14403"/>
                <wp:lineTo x="51" y="14429"/>
                <wp:lineTo x="51" y="14455"/>
                <wp:lineTo x="51" y="14481"/>
                <wp:lineTo x="51" y="14508"/>
                <wp:lineTo x="51" y="14534"/>
                <wp:lineTo x="51" y="14560"/>
                <wp:lineTo x="51" y="14586"/>
                <wp:lineTo x="51" y="14612"/>
                <wp:lineTo x="51" y="14638"/>
                <wp:lineTo x="51" y="14664"/>
                <wp:lineTo x="51" y="14690"/>
                <wp:lineTo x="51" y="14716"/>
                <wp:lineTo x="51" y="14742"/>
                <wp:lineTo x="51" y="14767"/>
                <wp:lineTo x="51" y="14793"/>
                <wp:lineTo x="51" y="14819"/>
                <wp:lineTo x="51" y="14845"/>
                <wp:lineTo x="51" y="14871"/>
                <wp:lineTo x="51" y="14897"/>
                <wp:lineTo x="51" y="14923"/>
                <wp:lineTo x="51" y="14949"/>
                <wp:lineTo x="51" y="14975"/>
                <wp:lineTo x="51" y="15001"/>
                <wp:lineTo x="51" y="15027"/>
                <wp:lineTo x="51" y="15053"/>
                <wp:lineTo x="51" y="15079"/>
                <wp:lineTo x="51" y="15106"/>
                <wp:lineTo x="51" y="15131"/>
                <wp:lineTo x="51" y="15157"/>
                <wp:lineTo x="51" y="15183"/>
                <wp:lineTo x="51" y="15209"/>
                <wp:lineTo x="51" y="15235"/>
                <wp:lineTo x="51" y="15261"/>
                <wp:lineTo x="51" y="15287"/>
                <wp:lineTo x="51" y="15313"/>
                <wp:lineTo x="51" y="15339"/>
                <wp:lineTo x="51" y="15365"/>
                <wp:lineTo x="51" y="15391"/>
                <wp:lineTo x="51" y="15417"/>
                <wp:lineTo x="51" y="15444"/>
                <wp:lineTo x="51" y="15470"/>
                <wp:lineTo x="51" y="15496"/>
                <wp:lineTo x="51" y="15522"/>
                <wp:lineTo x="51" y="15548"/>
                <wp:lineTo x="51" y="15574"/>
                <wp:lineTo x="51" y="15600"/>
                <wp:lineTo x="51" y="15626"/>
                <wp:lineTo x="51" y="15652"/>
                <wp:lineTo x="51" y="15678"/>
                <wp:lineTo x="51" y="15704"/>
                <wp:lineTo x="51" y="15730"/>
                <wp:lineTo x="51" y="15756"/>
                <wp:lineTo x="51" y="15782"/>
                <wp:lineTo x="51" y="15808"/>
                <wp:lineTo x="51" y="15834"/>
                <wp:lineTo x="51" y="15860"/>
                <wp:lineTo x="51" y="15886"/>
                <wp:lineTo x="51" y="15911"/>
                <wp:lineTo x="51" y="15937"/>
                <wp:lineTo x="51" y="15963"/>
                <wp:lineTo x="51" y="15989"/>
                <wp:lineTo x="51" y="16015"/>
                <wp:lineTo x="51" y="16041"/>
                <wp:lineTo x="51" y="16067"/>
                <wp:lineTo x="51" y="16093"/>
                <wp:lineTo x="51" y="16119"/>
                <wp:lineTo x="51" y="16145"/>
                <wp:lineTo x="51" y="16171"/>
                <wp:lineTo x="51" y="16197"/>
                <wp:lineTo x="51" y="16223"/>
                <wp:lineTo x="51" y="16249"/>
                <wp:lineTo x="51" y="16275"/>
                <wp:lineTo x="51" y="16301"/>
                <wp:lineTo x="87" y="16327"/>
                <wp:lineTo x="87" y="16354"/>
                <wp:lineTo x="87" y="16380"/>
                <wp:lineTo x="87" y="16406"/>
                <wp:lineTo x="87" y="16432"/>
                <wp:lineTo x="87" y="16458"/>
                <wp:lineTo x="87" y="16484"/>
                <wp:lineTo x="87" y="16510"/>
                <wp:lineTo x="87" y="16536"/>
                <wp:lineTo x="87" y="16561"/>
                <wp:lineTo x="87" y="16587"/>
                <wp:lineTo x="87" y="16613"/>
                <wp:lineTo x="87" y="16639"/>
                <wp:lineTo x="87" y="16666"/>
                <wp:lineTo x="87" y="16692"/>
                <wp:lineTo x="87" y="16718"/>
                <wp:lineTo x="87" y="16744"/>
                <wp:lineTo x="87" y="16770"/>
                <wp:lineTo x="87" y="16796"/>
                <wp:lineTo x="123" y="16822"/>
                <wp:lineTo x="123" y="16848"/>
                <wp:lineTo x="123" y="16874"/>
                <wp:lineTo x="123" y="16900"/>
                <wp:lineTo x="159" y="16926"/>
                <wp:lineTo x="159" y="16952"/>
                <wp:lineTo x="159" y="16978"/>
                <wp:lineTo x="159" y="17004"/>
                <wp:lineTo x="195" y="17030"/>
                <wp:lineTo x="195" y="17055"/>
                <wp:lineTo x="231" y="17081"/>
                <wp:lineTo x="231" y="17107"/>
                <wp:lineTo x="231" y="17133"/>
                <wp:lineTo x="267" y="17159"/>
                <wp:lineTo x="267" y="17185"/>
                <wp:lineTo x="302" y="17211"/>
                <wp:lineTo x="302" y="17237"/>
                <wp:lineTo x="338" y="17264"/>
                <wp:lineTo x="338" y="17289"/>
                <wp:lineTo x="374" y="17315"/>
                <wp:lineTo x="374" y="17341"/>
                <wp:lineTo x="410" y="17367"/>
                <wp:lineTo x="410" y="17393"/>
                <wp:lineTo x="446" y="17419"/>
                <wp:lineTo x="482" y="17445"/>
                <wp:lineTo x="482" y="17471"/>
                <wp:lineTo x="517" y="17497"/>
                <wp:lineTo x="553" y="17523"/>
                <wp:lineTo x="553" y="17549"/>
                <wp:lineTo x="589" y="17575"/>
                <wp:lineTo x="625" y="17602"/>
                <wp:lineTo x="661" y="17628"/>
                <wp:lineTo x="661" y="17654"/>
                <wp:lineTo x="697" y="17680"/>
                <wp:lineTo x="733" y="17706"/>
                <wp:lineTo x="768" y="17732"/>
                <wp:lineTo x="804" y="17758"/>
                <wp:lineTo x="840" y="17784"/>
                <wp:lineTo x="876" y="17810"/>
                <wp:lineTo x="912" y="17836"/>
                <wp:lineTo x="948" y="17862"/>
                <wp:lineTo x="983" y="17888"/>
                <wp:lineTo x="1019" y="17914"/>
                <wp:lineTo x="1054" y="17940"/>
                <wp:lineTo x="1090" y="17966"/>
                <wp:lineTo x="1127" y="17992"/>
                <wp:lineTo x="1163" y="18018"/>
                <wp:lineTo x="1199" y="18044"/>
                <wp:lineTo x="1235" y="18070"/>
                <wp:lineTo x="1306" y="18096"/>
                <wp:lineTo x="1342" y="18122"/>
                <wp:lineTo x="1378" y="18148"/>
                <wp:lineTo x="1414" y="18173"/>
                <wp:lineTo x="1486" y="18199"/>
                <wp:lineTo x="1521" y="18225"/>
                <wp:lineTo x="1557" y="18251"/>
                <wp:lineTo x="1629" y="18277"/>
                <wp:lineTo x="1665" y="18303"/>
                <wp:lineTo x="1701" y="18329"/>
                <wp:lineTo x="1772" y="18355"/>
                <wp:lineTo x="1808" y="18381"/>
                <wp:lineTo x="1880" y="18407"/>
                <wp:lineTo x="1916" y="18433"/>
                <wp:lineTo x="1987" y="18459"/>
                <wp:lineTo x="2058" y="18485"/>
                <wp:lineTo x="2094" y="18512"/>
                <wp:lineTo x="2166" y="18538"/>
                <wp:lineTo x="2202" y="18564"/>
                <wp:lineTo x="2275" y="18590"/>
                <wp:lineTo x="2346" y="18616"/>
                <wp:lineTo x="2418" y="18642"/>
                <wp:lineTo x="2454" y="18668"/>
                <wp:lineTo x="2525" y="18694"/>
                <wp:lineTo x="2597" y="18719"/>
                <wp:lineTo x="2669" y="18745"/>
                <wp:lineTo x="2741" y="18771"/>
                <wp:lineTo x="2776" y="18797"/>
                <wp:lineTo x="2848" y="18824"/>
                <wp:lineTo x="2920" y="18850"/>
                <wp:lineTo x="2991" y="18876"/>
                <wp:lineTo x="3062" y="18902"/>
                <wp:lineTo x="3134" y="18928"/>
                <wp:lineTo x="3206" y="18954"/>
                <wp:lineTo x="3278" y="18980"/>
                <wp:lineTo x="3349" y="19006"/>
                <wp:lineTo x="3422" y="19032"/>
                <wp:lineTo x="3529" y="19058"/>
                <wp:lineTo x="3601" y="19084"/>
                <wp:lineTo x="3673" y="19110"/>
                <wp:lineTo x="3745" y="19136"/>
                <wp:lineTo x="3816" y="19162"/>
                <wp:lineTo x="3888" y="19188"/>
                <wp:lineTo x="3995" y="19214"/>
                <wp:lineTo x="4066" y="19240"/>
                <wp:lineTo x="4138" y="19266"/>
                <wp:lineTo x="4246" y="19292"/>
                <wp:lineTo x="4317" y="19317"/>
                <wp:lineTo x="4389" y="19343"/>
                <wp:lineTo x="4461" y="19369"/>
                <wp:lineTo x="4569" y="19395"/>
                <wp:lineTo x="4641" y="19422"/>
                <wp:lineTo x="4713" y="19447"/>
                <wp:lineTo x="4820" y="19473"/>
                <wp:lineTo x="4892" y="19499"/>
                <wp:lineTo x="4999" y="19525"/>
                <wp:lineTo x="5070" y="19551"/>
                <wp:lineTo x="5178" y="19577"/>
                <wp:lineTo x="5250" y="19603"/>
                <wp:lineTo x="5357" y="19629"/>
                <wp:lineTo x="5429" y="19655"/>
                <wp:lineTo x="5501" y="19681"/>
                <wp:lineTo x="5608" y="19707"/>
                <wp:lineTo x="5681" y="19733"/>
                <wp:lineTo x="5788" y="19760"/>
                <wp:lineTo x="5860" y="19786"/>
                <wp:lineTo x="5967" y="19812"/>
                <wp:lineTo x="6039" y="19838"/>
                <wp:lineTo x="6146" y="19864"/>
                <wp:lineTo x="6218" y="19890"/>
                <wp:lineTo x="6325" y="19916"/>
                <wp:lineTo x="6433" y="19942"/>
                <wp:lineTo x="6505" y="19968"/>
                <wp:lineTo x="6576" y="19994"/>
                <wp:lineTo x="6684" y="20020"/>
                <wp:lineTo x="6756" y="20046"/>
                <wp:lineTo x="6863" y="20072"/>
                <wp:lineTo x="6935" y="20098"/>
                <wp:lineTo x="7043" y="20124"/>
                <wp:lineTo x="7114" y="20150"/>
                <wp:lineTo x="7222" y="20176"/>
                <wp:lineTo x="7294" y="20202"/>
                <wp:lineTo x="7401" y="20228"/>
                <wp:lineTo x="7473" y="20254"/>
                <wp:lineTo x="7544" y="20280"/>
                <wp:lineTo x="7652" y="20306"/>
                <wp:lineTo x="7724" y="20332"/>
                <wp:lineTo x="7795" y="20358"/>
                <wp:lineTo x="7902" y="20384"/>
                <wp:lineTo x="7975" y="20410"/>
                <wp:lineTo x="8047" y="20436"/>
                <wp:lineTo x="8154" y="20461"/>
                <wp:lineTo x="8226" y="20487"/>
                <wp:lineTo x="8298" y="20513"/>
                <wp:lineTo x="8369" y="20539"/>
                <wp:lineTo x="8477" y="20565"/>
                <wp:lineTo x="8548" y="20591"/>
                <wp:lineTo x="8620" y="20617"/>
                <wp:lineTo x="8692" y="20643"/>
                <wp:lineTo x="8764" y="20670"/>
                <wp:lineTo x="8870" y="20696"/>
                <wp:lineTo x="8942" y="20722"/>
                <wp:lineTo x="9014" y="20748"/>
                <wp:lineTo x="9086" y="20774"/>
                <wp:lineTo x="9158" y="20800"/>
                <wp:lineTo x="9230" y="20826"/>
                <wp:lineTo x="9302" y="20852"/>
                <wp:lineTo x="9373" y="20877"/>
                <wp:lineTo x="9445" y="20903"/>
                <wp:lineTo x="9517" y="20929"/>
                <wp:lineTo x="9552" y="20955"/>
                <wp:lineTo x="9624" y="20982"/>
                <wp:lineTo x="9696" y="21008"/>
                <wp:lineTo x="9768" y="21034"/>
                <wp:lineTo x="9839" y="21060"/>
                <wp:lineTo x="9874" y="21086"/>
                <wp:lineTo x="9946" y="21112"/>
                <wp:lineTo x="10018" y="21138"/>
                <wp:lineTo x="10089" y="21164"/>
                <wp:lineTo x="10125" y="21190"/>
                <wp:lineTo x="10197" y="21216"/>
                <wp:lineTo x="10234" y="21242"/>
                <wp:lineTo x="10306" y="21268"/>
                <wp:lineTo x="10377" y="21294"/>
                <wp:lineTo x="10413" y="21320"/>
                <wp:lineTo x="10485" y="21346"/>
                <wp:lineTo x="10521" y="21372"/>
                <wp:lineTo x="10556" y="21398"/>
                <wp:lineTo x="10628" y="21424"/>
                <wp:lineTo x="10664" y="21450"/>
                <wp:lineTo x="10736" y="21476"/>
                <wp:lineTo x="10772" y="21502"/>
                <wp:lineTo x="10843" y="21528"/>
                <wp:lineTo x="10878" y="21528"/>
                <wp:lineTo x="10950" y="21502"/>
                <wp:lineTo x="10986" y="21476"/>
                <wp:lineTo x="11058" y="21450"/>
                <wp:lineTo x="11093" y="21424"/>
                <wp:lineTo x="11129" y="21398"/>
                <wp:lineTo x="11201" y="21372"/>
                <wp:lineTo x="11237" y="21346"/>
                <wp:lineTo x="11309" y="21320"/>
                <wp:lineTo x="11344" y="21294"/>
                <wp:lineTo x="11417" y="21268"/>
                <wp:lineTo x="11453" y="21242"/>
                <wp:lineTo x="11525" y="21216"/>
                <wp:lineTo x="11596" y="21190"/>
                <wp:lineTo x="11632" y="21164"/>
                <wp:lineTo x="11704" y="21138"/>
                <wp:lineTo x="11775" y="21112"/>
                <wp:lineTo x="11811" y="21086"/>
                <wp:lineTo x="11882" y="21060"/>
                <wp:lineTo x="11954" y="21034"/>
                <wp:lineTo x="11990" y="21008"/>
                <wp:lineTo x="12062" y="20982"/>
                <wp:lineTo x="12133" y="20955"/>
                <wp:lineTo x="12205" y="20929"/>
                <wp:lineTo x="12277" y="20903"/>
                <wp:lineTo x="12313" y="20877"/>
                <wp:lineTo x="12384" y="20852"/>
                <wp:lineTo x="12456" y="20826"/>
                <wp:lineTo x="12529" y="20800"/>
                <wp:lineTo x="12600" y="20774"/>
                <wp:lineTo x="12672" y="20748"/>
                <wp:lineTo x="12744" y="20722"/>
                <wp:lineTo x="12815" y="20696"/>
                <wp:lineTo x="12886" y="20670"/>
                <wp:lineTo x="12958" y="20643"/>
                <wp:lineTo x="13030" y="20617"/>
                <wp:lineTo x="13101" y="20591"/>
                <wp:lineTo x="13173" y="20565"/>
                <wp:lineTo x="13245" y="20539"/>
                <wp:lineTo x="13317" y="20513"/>
                <wp:lineTo x="13388" y="20487"/>
                <wp:lineTo x="13460" y="20461"/>
                <wp:lineTo x="13532" y="20436"/>
                <wp:lineTo x="13603" y="20410"/>
                <wp:lineTo x="13676" y="20384"/>
                <wp:lineTo x="13747" y="20358"/>
                <wp:lineTo x="13855" y="20332"/>
                <wp:lineTo x="13926" y="20306"/>
                <wp:lineTo x="13998" y="20280"/>
                <wp:lineTo x="14070" y="20254"/>
                <wp:lineTo x="14141" y="20228"/>
                <wp:lineTo x="14213" y="20202"/>
                <wp:lineTo x="14321" y="20176"/>
                <wp:lineTo x="14392" y="20150"/>
                <wp:lineTo x="14464" y="20124"/>
                <wp:lineTo x="14536" y="20098"/>
                <wp:lineTo x="14607" y="20072"/>
                <wp:lineTo x="14715" y="20046"/>
                <wp:lineTo x="14787" y="20020"/>
                <wp:lineTo x="14859" y="19994"/>
                <wp:lineTo x="14930" y="19968"/>
                <wp:lineTo x="15038" y="19942"/>
                <wp:lineTo x="15109" y="19916"/>
                <wp:lineTo x="15181" y="19890"/>
                <wp:lineTo x="15253" y="19864"/>
                <wp:lineTo x="15325" y="19838"/>
                <wp:lineTo x="15432" y="19812"/>
                <wp:lineTo x="15504" y="19786"/>
                <wp:lineTo x="15575" y="19760"/>
                <wp:lineTo x="15647" y="19733"/>
                <wp:lineTo x="15754" y="19707"/>
                <wp:lineTo x="15826" y="19681"/>
                <wp:lineTo x="15897" y="19655"/>
                <wp:lineTo x="15970" y="19629"/>
                <wp:lineTo x="16078" y="19603"/>
                <wp:lineTo x="16149" y="19577"/>
                <wp:lineTo x="16221" y="19551"/>
                <wp:lineTo x="16293" y="19525"/>
                <wp:lineTo x="16364" y="19499"/>
                <wp:lineTo x="16472" y="19473"/>
                <wp:lineTo x="16544" y="19447"/>
                <wp:lineTo x="16615" y="19422"/>
                <wp:lineTo x="16686" y="19395"/>
                <wp:lineTo x="16794" y="19369"/>
                <wp:lineTo x="16866" y="19343"/>
                <wp:lineTo x="16937" y="19317"/>
                <wp:lineTo x="17009" y="19292"/>
                <wp:lineTo x="17082" y="19266"/>
                <wp:lineTo x="17153" y="19240"/>
                <wp:lineTo x="17261" y="19214"/>
                <wp:lineTo x="17333" y="19188"/>
                <wp:lineTo x="17404" y="19162"/>
                <wp:lineTo x="17476" y="19136"/>
                <wp:lineTo x="17548" y="19110"/>
                <wp:lineTo x="17619" y="19084"/>
                <wp:lineTo x="17690" y="19058"/>
                <wp:lineTo x="17762" y="19032"/>
                <wp:lineTo x="17834" y="19006"/>
                <wp:lineTo x="17905" y="18980"/>
                <wp:lineTo x="17977" y="18954"/>
                <wp:lineTo x="18049" y="18928"/>
                <wp:lineTo x="18120" y="18902"/>
                <wp:lineTo x="18193" y="18876"/>
                <wp:lineTo x="18265" y="18850"/>
                <wp:lineTo x="18337" y="18824"/>
                <wp:lineTo x="18408" y="18797"/>
                <wp:lineTo x="18480" y="18771"/>
                <wp:lineTo x="18552" y="18745"/>
                <wp:lineTo x="18623" y="18719"/>
                <wp:lineTo x="18694" y="18694"/>
                <wp:lineTo x="18766" y="18668"/>
                <wp:lineTo x="18838" y="18642"/>
                <wp:lineTo x="18874" y="18616"/>
                <wp:lineTo x="18945" y="18590"/>
                <wp:lineTo x="19017" y="18564"/>
                <wp:lineTo x="19089" y="18538"/>
                <wp:lineTo x="19160" y="18512"/>
                <wp:lineTo x="19196" y="18485"/>
                <wp:lineTo x="19268" y="18459"/>
                <wp:lineTo x="19341" y="18433"/>
                <wp:lineTo x="19376" y="18407"/>
                <wp:lineTo x="19448" y="18381"/>
                <wp:lineTo x="19520" y="18355"/>
                <wp:lineTo x="19556" y="18329"/>
                <wp:lineTo x="19627" y="18303"/>
                <wp:lineTo x="19662" y="18277"/>
                <wp:lineTo x="19734" y="18251"/>
                <wp:lineTo x="19770" y="18225"/>
                <wp:lineTo x="19842" y="18199"/>
                <wp:lineTo x="19878" y="18173"/>
                <wp:lineTo x="19949" y="18148"/>
                <wp:lineTo x="19985" y="18122"/>
                <wp:lineTo x="20057" y="18096"/>
                <wp:lineTo x="20093" y="18070"/>
                <wp:lineTo x="20128" y="18044"/>
                <wp:lineTo x="20200" y="18018"/>
                <wp:lineTo x="20236" y="17992"/>
                <wp:lineTo x="20272" y="17966"/>
                <wp:lineTo x="20344" y="17940"/>
                <wp:lineTo x="20379" y="17914"/>
                <wp:lineTo x="20415" y="17888"/>
                <wp:lineTo x="20451" y="17862"/>
                <wp:lineTo x="20524" y="17836"/>
                <wp:lineTo x="20560" y="17810"/>
                <wp:lineTo x="20595" y="17784"/>
                <wp:lineTo x="20631" y="17758"/>
                <wp:lineTo x="20666" y="17732"/>
                <wp:lineTo x="20702" y="17706"/>
                <wp:lineTo x="20738" y="17680"/>
                <wp:lineTo x="20774" y="17654"/>
                <wp:lineTo x="20810" y="17628"/>
                <wp:lineTo x="20846" y="17602"/>
                <wp:lineTo x="20882" y="17575"/>
                <wp:lineTo x="20917" y="17549"/>
                <wp:lineTo x="20953" y="17523"/>
                <wp:lineTo x="20989" y="17497"/>
                <wp:lineTo x="21025" y="17471"/>
                <wp:lineTo x="21025" y="17445"/>
                <wp:lineTo x="21061" y="17419"/>
                <wp:lineTo x="21097" y="17393"/>
                <wp:lineTo x="21132" y="17367"/>
                <wp:lineTo x="21168" y="17341"/>
                <wp:lineTo x="21168" y="17315"/>
                <wp:lineTo x="21204" y="17289"/>
                <wp:lineTo x="21240" y="17264"/>
                <wp:lineTo x="21240" y="17237"/>
                <wp:lineTo x="21276" y="17211"/>
                <wp:lineTo x="21276" y="17185"/>
                <wp:lineTo x="21312" y="17159"/>
                <wp:lineTo x="21348" y="17133"/>
                <wp:lineTo x="21348" y="17107"/>
                <wp:lineTo x="21383" y="17081"/>
                <wp:lineTo x="21383" y="17055"/>
                <wp:lineTo x="21383" y="17030"/>
                <wp:lineTo x="21419" y="17004"/>
                <wp:lineTo x="21419" y="16978"/>
                <wp:lineTo x="21455" y="16952"/>
                <wp:lineTo x="21455" y="16926"/>
                <wp:lineTo x="21455" y="16900"/>
                <wp:lineTo x="21491" y="16874"/>
                <wp:lineTo x="21491" y="16848"/>
                <wp:lineTo x="21491" y="16822"/>
                <wp:lineTo x="21527" y="16796"/>
                <wp:lineTo x="21527" y="16770"/>
                <wp:lineTo x="21527" y="16744"/>
                <wp:lineTo x="21527" y="16718"/>
                <wp:lineTo x="21527" y="16692"/>
                <wp:lineTo x="21527" y="16666"/>
                <wp:lineTo x="21527" y="16639"/>
                <wp:lineTo x="21527" y="16613"/>
                <wp:lineTo x="21527" y="16587"/>
                <wp:lineTo x="21491" y="16561"/>
                <wp:lineTo x="21527" y="16536"/>
                <wp:lineTo x="21527" y="16510"/>
                <wp:lineTo x="21527" y="16484"/>
                <wp:lineTo x="21527" y="16458"/>
                <wp:lineTo x="21527" y="16432"/>
                <wp:lineTo x="21527" y="16406"/>
                <wp:lineTo x="21527" y="16380"/>
                <wp:lineTo x="21527" y="16354"/>
                <wp:lineTo x="21527" y="16327"/>
                <wp:lineTo x="21527" y="16301"/>
                <wp:lineTo x="21527" y="16275"/>
                <wp:lineTo x="21527" y="16249"/>
                <wp:lineTo x="21527" y="16223"/>
                <wp:lineTo x="21527" y="16197"/>
                <wp:lineTo x="21527" y="16171"/>
                <wp:lineTo x="21527" y="16145"/>
                <wp:lineTo x="21527" y="16119"/>
                <wp:lineTo x="21527" y="16093"/>
                <wp:lineTo x="21527" y="16067"/>
                <wp:lineTo x="21527" y="16041"/>
                <wp:lineTo x="21527" y="16015"/>
                <wp:lineTo x="21527" y="15989"/>
                <wp:lineTo x="21527" y="15963"/>
                <wp:lineTo x="21527" y="15937"/>
                <wp:lineTo x="21527" y="15911"/>
                <wp:lineTo x="21527" y="15886"/>
                <wp:lineTo x="21527" y="15860"/>
                <wp:lineTo x="21527" y="15834"/>
                <wp:lineTo x="21527" y="15808"/>
                <wp:lineTo x="21527" y="15782"/>
                <wp:lineTo x="21527" y="15756"/>
                <wp:lineTo x="21527" y="15730"/>
                <wp:lineTo x="21527" y="15704"/>
                <wp:lineTo x="21527" y="15678"/>
                <wp:lineTo x="21527" y="15652"/>
                <wp:lineTo x="21527" y="15626"/>
                <wp:lineTo x="21527" y="15600"/>
                <wp:lineTo x="21527" y="15574"/>
                <wp:lineTo x="21527" y="15548"/>
                <wp:lineTo x="21527" y="15522"/>
                <wp:lineTo x="21527" y="15496"/>
                <wp:lineTo x="21527" y="15470"/>
                <wp:lineTo x="21527" y="15444"/>
                <wp:lineTo x="21527" y="15417"/>
                <wp:lineTo x="21527" y="15391"/>
                <wp:lineTo x="21527" y="15365"/>
                <wp:lineTo x="21527" y="15339"/>
                <wp:lineTo x="21527" y="15313"/>
                <wp:lineTo x="21527" y="15287"/>
                <wp:lineTo x="21527" y="15261"/>
                <wp:lineTo x="21527" y="15235"/>
                <wp:lineTo x="21527" y="15209"/>
                <wp:lineTo x="21527" y="15183"/>
                <wp:lineTo x="21527" y="15157"/>
                <wp:lineTo x="21527" y="15131"/>
                <wp:lineTo x="21527" y="15106"/>
                <wp:lineTo x="21527" y="15079"/>
                <wp:lineTo x="21527" y="15053"/>
                <wp:lineTo x="21527" y="15027"/>
                <wp:lineTo x="21527" y="15001"/>
                <wp:lineTo x="21527" y="14975"/>
                <wp:lineTo x="21527" y="14949"/>
                <wp:lineTo x="21527" y="14923"/>
                <wp:lineTo x="21527" y="14897"/>
                <wp:lineTo x="21527" y="14871"/>
                <wp:lineTo x="21527" y="14845"/>
                <wp:lineTo x="21527" y="14819"/>
                <wp:lineTo x="21527" y="14793"/>
                <wp:lineTo x="21527" y="14767"/>
                <wp:lineTo x="21527" y="14742"/>
                <wp:lineTo x="21527" y="14716"/>
                <wp:lineTo x="21527" y="14690"/>
                <wp:lineTo x="21527" y="14664"/>
                <wp:lineTo x="21527" y="14638"/>
                <wp:lineTo x="21527" y="14612"/>
                <wp:lineTo x="21527" y="14586"/>
                <wp:lineTo x="21527" y="14560"/>
                <wp:lineTo x="21527" y="14534"/>
                <wp:lineTo x="21527" y="14508"/>
                <wp:lineTo x="21527" y="14481"/>
                <wp:lineTo x="21527" y="14455"/>
                <wp:lineTo x="21527" y="14429"/>
                <wp:lineTo x="21527" y="14403"/>
                <wp:lineTo x="21527" y="14378"/>
                <wp:lineTo x="21527" y="14352"/>
                <wp:lineTo x="21527" y="14326"/>
                <wp:lineTo x="21527" y="14300"/>
                <wp:lineTo x="21527" y="14274"/>
                <wp:lineTo x="21527" y="14248"/>
                <wp:lineTo x="21527" y="14222"/>
                <wp:lineTo x="21527" y="14196"/>
                <wp:lineTo x="21527" y="14169"/>
                <wp:lineTo x="21527" y="14143"/>
                <wp:lineTo x="21527" y="14117"/>
                <wp:lineTo x="21527" y="14091"/>
                <wp:lineTo x="21527" y="14065"/>
                <wp:lineTo x="21527" y="14039"/>
                <wp:lineTo x="21527" y="14013"/>
                <wp:lineTo x="21527" y="13987"/>
                <wp:lineTo x="21527" y="13961"/>
                <wp:lineTo x="21527" y="13935"/>
                <wp:lineTo x="21527" y="13909"/>
                <wp:lineTo x="21527" y="13883"/>
                <wp:lineTo x="21527" y="13857"/>
                <wp:lineTo x="21527" y="13831"/>
                <wp:lineTo x="21527" y="13805"/>
                <wp:lineTo x="21527" y="13779"/>
                <wp:lineTo x="21527" y="13753"/>
                <wp:lineTo x="21527" y="13727"/>
                <wp:lineTo x="21527" y="13701"/>
                <wp:lineTo x="21527" y="13675"/>
                <wp:lineTo x="21527" y="13649"/>
                <wp:lineTo x="21527" y="13624"/>
                <wp:lineTo x="21527" y="13598"/>
                <wp:lineTo x="21527" y="13572"/>
                <wp:lineTo x="21527" y="13546"/>
                <wp:lineTo x="21527" y="13520"/>
                <wp:lineTo x="21527" y="13494"/>
                <wp:lineTo x="21527" y="13468"/>
                <wp:lineTo x="21527" y="13442"/>
                <wp:lineTo x="21527" y="13416"/>
                <wp:lineTo x="21527" y="13390"/>
                <wp:lineTo x="21527" y="13364"/>
                <wp:lineTo x="21527" y="13338"/>
                <wp:lineTo x="21527" y="13312"/>
                <wp:lineTo x="21527" y="13286"/>
                <wp:lineTo x="21527" y="13259"/>
                <wp:lineTo x="21527" y="13233"/>
                <wp:lineTo x="21527" y="13207"/>
                <wp:lineTo x="21527" y="13181"/>
                <wp:lineTo x="21527" y="13155"/>
                <wp:lineTo x="21527" y="13129"/>
                <wp:lineTo x="21527" y="13103"/>
                <wp:lineTo x="21527" y="13077"/>
                <wp:lineTo x="21527" y="13051"/>
                <wp:lineTo x="21527" y="13025"/>
                <wp:lineTo x="21527" y="12999"/>
                <wp:lineTo x="21527" y="12973"/>
                <wp:lineTo x="21527" y="12948"/>
                <wp:lineTo x="21527" y="12921"/>
                <wp:lineTo x="21527" y="12895"/>
                <wp:lineTo x="21527" y="12869"/>
                <wp:lineTo x="21527" y="12843"/>
                <wp:lineTo x="21527" y="12817"/>
                <wp:lineTo x="21527" y="12791"/>
                <wp:lineTo x="21527" y="12765"/>
                <wp:lineTo x="21527" y="12739"/>
                <wp:lineTo x="21527" y="12713"/>
                <wp:lineTo x="21527" y="12687"/>
                <wp:lineTo x="21527" y="12661"/>
                <wp:lineTo x="21527" y="12635"/>
                <wp:lineTo x="21527" y="12609"/>
                <wp:lineTo x="21527" y="12583"/>
                <wp:lineTo x="21527" y="12557"/>
                <wp:lineTo x="21527" y="12531"/>
                <wp:lineTo x="21527" y="12505"/>
                <wp:lineTo x="21527" y="12480"/>
                <wp:lineTo x="21527" y="12454"/>
                <wp:lineTo x="21527" y="12428"/>
                <wp:lineTo x="21527" y="12402"/>
                <wp:lineTo x="21527" y="12376"/>
                <wp:lineTo x="21527" y="12350"/>
                <wp:lineTo x="21527" y="12323"/>
                <wp:lineTo x="21527" y="12297"/>
                <wp:lineTo x="21527" y="12271"/>
                <wp:lineTo x="21527" y="12245"/>
                <wp:lineTo x="21527" y="12220"/>
                <wp:lineTo x="21527" y="12194"/>
                <wp:lineTo x="21527" y="12168"/>
                <wp:lineTo x="21527" y="12142"/>
                <wp:lineTo x="21527" y="12116"/>
                <wp:lineTo x="21527" y="12090"/>
                <wp:lineTo x="21527" y="12064"/>
                <wp:lineTo x="21527" y="12038"/>
                <wp:lineTo x="21527" y="12011"/>
                <wp:lineTo x="21527" y="11985"/>
                <wp:lineTo x="21527" y="11959"/>
                <wp:lineTo x="21527" y="11933"/>
                <wp:lineTo x="21527" y="11907"/>
                <wp:lineTo x="21527" y="11881"/>
                <wp:lineTo x="21527" y="11855"/>
                <wp:lineTo x="21527" y="11829"/>
                <wp:lineTo x="21527" y="11803"/>
                <wp:lineTo x="21527" y="11777"/>
                <wp:lineTo x="21527" y="11751"/>
                <wp:lineTo x="21527" y="11725"/>
                <wp:lineTo x="21527" y="11699"/>
                <wp:lineTo x="21527" y="11673"/>
                <wp:lineTo x="21527" y="11647"/>
                <wp:lineTo x="21527" y="11621"/>
                <wp:lineTo x="21527" y="11595"/>
                <wp:lineTo x="21527" y="11569"/>
                <wp:lineTo x="21527" y="11543"/>
                <wp:lineTo x="21527" y="11517"/>
                <wp:lineTo x="21527" y="11491"/>
                <wp:lineTo x="21527" y="11465"/>
                <wp:lineTo x="21527" y="11439"/>
                <wp:lineTo x="21527" y="11413"/>
                <wp:lineTo x="21527" y="11387"/>
                <wp:lineTo x="21527" y="11361"/>
                <wp:lineTo x="21527" y="11336"/>
                <wp:lineTo x="21527" y="11310"/>
                <wp:lineTo x="21527" y="11284"/>
                <wp:lineTo x="21527" y="11258"/>
                <wp:lineTo x="21527" y="11232"/>
                <wp:lineTo x="21527" y="11206"/>
                <wp:lineTo x="21527" y="11180"/>
                <wp:lineTo x="21527" y="11154"/>
                <wp:lineTo x="21527" y="11128"/>
                <wp:lineTo x="21527" y="11101"/>
                <wp:lineTo x="21527" y="11075"/>
                <wp:lineTo x="21527" y="11049"/>
                <wp:lineTo x="21527" y="11023"/>
                <wp:lineTo x="21527" y="10997"/>
                <wp:lineTo x="21527" y="10971"/>
                <wp:lineTo x="21527" y="10945"/>
                <wp:lineTo x="21527" y="10919"/>
                <wp:lineTo x="21527" y="10893"/>
                <wp:lineTo x="21527" y="10867"/>
                <wp:lineTo x="21527" y="10841"/>
                <wp:lineTo x="21527" y="10815"/>
                <wp:lineTo x="21527" y="10790"/>
                <wp:lineTo x="21527" y="10763"/>
                <wp:lineTo x="21527" y="10737"/>
                <wp:lineTo x="21527" y="10711"/>
                <wp:lineTo x="21527" y="10685"/>
                <wp:lineTo x="21527" y="10659"/>
                <wp:lineTo x="21527" y="10633"/>
                <wp:lineTo x="21527" y="10607"/>
                <wp:lineTo x="21527" y="10581"/>
                <wp:lineTo x="21527" y="10555"/>
                <wp:lineTo x="21527" y="10529"/>
                <wp:lineTo x="21527" y="10503"/>
                <wp:lineTo x="21527" y="10477"/>
                <wp:lineTo x="21527" y="10451"/>
                <wp:lineTo x="21527" y="10425"/>
                <wp:lineTo x="21527" y="10399"/>
                <wp:lineTo x="21527" y="10373"/>
                <wp:lineTo x="21527" y="10347"/>
                <wp:lineTo x="21527" y="10321"/>
                <wp:lineTo x="21527" y="10295"/>
                <wp:lineTo x="21527" y="10269"/>
                <wp:lineTo x="21527" y="10243"/>
                <wp:lineTo x="21527" y="10218"/>
                <wp:lineTo x="21527" y="10192"/>
                <wp:lineTo x="21527" y="10165"/>
                <wp:lineTo x="21527" y="10139"/>
                <wp:lineTo x="21527" y="10113"/>
                <wp:lineTo x="21527" y="10087"/>
                <wp:lineTo x="21527" y="10062"/>
                <wp:lineTo x="21527" y="10036"/>
                <wp:lineTo x="21527" y="10010"/>
                <wp:lineTo x="21527" y="9984"/>
                <wp:lineTo x="21527" y="9958"/>
                <wp:lineTo x="21527" y="9932"/>
                <wp:lineTo x="21527" y="9906"/>
                <wp:lineTo x="21527" y="9880"/>
                <wp:lineTo x="21527" y="9853"/>
                <wp:lineTo x="21527" y="9827"/>
                <wp:lineTo x="21527" y="9801"/>
                <wp:lineTo x="21527" y="9775"/>
                <wp:lineTo x="21527" y="9749"/>
                <wp:lineTo x="21527" y="9723"/>
                <wp:lineTo x="21527" y="9697"/>
                <wp:lineTo x="21527" y="9671"/>
                <wp:lineTo x="21527" y="9645"/>
                <wp:lineTo x="21527" y="9619"/>
                <wp:lineTo x="21527" y="9593"/>
                <wp:lineTo x="21527" y="9567"/>
                <wp:lineTo x="21527" y="9541"/>
                <wp:lineTo x="21527" y="9515"/>
                <wp:lineTo x="21527" y="9489"/>
                <wp:lineTo x="21527" y="9463"/>
                <wp:lineTo x="21527" y="9437"/>
                <wp:lineTo x="21527" y="9411"/>
                <wp:lineTo x="21527" y="9385"/>
                <wp:lineTo x="21527" y="9359"/>
                <wp:lineTo x="21527" y="9333"/>
                <wp:lineTo x="21527" y="9307"/>
                <wp:lineTo x="21527" y="9281"/>
                <wp:lineTo x="21527" y="9255"/>
                <wp:lineTo x="21527" y="9229"/>
                <wp:lineTo x="21527" y="9203"/>
                <wp:lineTo x="21527" y="9177"/>
                <wp:lineTo x="21527" y="9151"/>
                <wp:lineTo x="21527" y="9125"/>
                <wp:lineTo x="21527" y="9099"/>
                <wp:lineTo x="21527" y="9074"/>
                <wp:lineTo x="21527" y="9048"/>
                <wp:lineTo x="21527" y="9022"/>
                <wp:lineTo x="21527" y="8996"/>
                <wp:lineTo x="21527" y="8970"/>
                <wp:lineTo x="21527" y="8943"/>
                <wp:lineTo x="21527" y="8917"/>
                <wp:lineTo x="21527" y="8891"/>
                <wp:lineTo x="21527" y="8865"/>
                <wp:lineTo x="21527" y="8839"/>
                <wp:lineTo x="21527" y="8813"/>
                <wp:lineTo x="21527" y="8787"/>
                <wp:lineTo x="21527" y="8761"/>
                <wp:lineTo x="21527" y="8735"/>
                <wp:lineTo x="21527" y="8709"/>
                <wp:lineTo x="21527" y="8683"/>
                <wp:lineTo x="21527" y="8657"/>
                <wp:lineTo x="21527" y="8632"/>
                <wp:lineTo x="21527" y="8605"/>
                <wp:lineTo x="21527" y="8579"/>
                <wp:lineTo x="21527" y="8553"/>
                <wp:lineTo x="21527" y="8527"/>
                <wp:lineTo x="21527" y="8501"/>
                <wp:lineTo x="21527" y="8475"/>
                <wp:lineTo x="21527" y="8449"/>
                <wp:lineTo x="21527" y="8423"/>
                <wp:lineTo x="21527" y="8397"/>
                <wp:lineTo x="21527" y="8371"/>
                <wp:lineTo x="21527" y="8345"/>
                <wp:lineTo x="21527" y="8319"/>
                <wp:lineTo x="21527" y="8293"/>
                <wp:lineTo x="21527" y="8267"/>
                <wp:lineTo x="21527" y="8241"/>
                <wp:lineTo x="21527" y="8215"/>
                <wp:lineTo x="21527" y="8189"/>
                <wp:lineTo x="21527" y="8163"/>
                <wp:lineTo x="21527" y="8137"/>
                <wp:lineTo x="21527" y="8111"/>
                <wp:lineTo x="21527" y="8085"/>
                <wp:lineTo x="21527" y="8059"/>
                <wp:lineTo x="21527" y="8033"/>
                <wp:lineTo x="21527" y="8006"/>
                <wp:lineTo x="21527" y="7980"/>
                <wp:lineTo x="21527" y="7954"/>
                <wp:lineTo x="21527" y="7929"/>
                <wp:lineTo x="21527" y="7904"/>
                <wp:lineTo x="21527" y="7878"/>
                <wp:lineTo x="21527" y="7852"/>
                <wp:lineTo x="21527" y="7826"/>
                <wp:lineTo x="21527" y="7800"/>
                <wp:lineTo x="21527" y="7774"/>
                <wp:lineTo x="21527" y="7748"/>
                <wp:lineTo x="21527" y="7722"/>
                <wp:lineTo x="21527" y="7695"/>
                <wp:lineTo x="21527" y="7669"/>
                <wp:lineTo x="21527" y="7643"/>
                <wp:lineTo x="21527" y="7617"/>
                <wp:lineTo x="21527" y="7591"/>
                <wp:lineTo x="21527" y="7565"/>
                <wp:lineTo x="21527" y="7539"/>
                <wp:lineTo x="21527" y="7513"/>
                <wp:lineTo x="21527" y="7487"/>
                <wp:lineTo x="21527" y="7461"/>
                <wp:lineTo x="21527" y="7435"/>
                <wp:lineTo x="21527" y="7409"/>
                <wp:lineTo x="21527" y="7383"/>
                <wp:lineTo x="21527" y="7357"/>
                <wp:lineTo x="21527" y="7331"/>
                <wp:lineTo x="21527" y="7305"/>
                <wp:lineTo x="21527" y="7279"/>
                <wp:lineTo x="21527" y="7253"/>
                <wp:lineTo x="21527" y="7227"/>
                <wp:lineTo x="21527" y="7201"/>
                <wp:lineTo x="21527" y="7175"/>
                <wp:lineTo x="21527" y="7149"/>
                <wp:lineTo x="21527" y="7123"/>
                <wp:lineTo x="21527" y="7097"/>
                <wp:lineTo x="21527" y="7071"/>
                <wp:lineTo x="21527" y="7045"/>
                <wp:lineTo x="21527" y="7019"/>
                <wp:lineTo x="21527" y="6993"/>
                <wp:lineTo x="21527" y="6967"/>
                <wp:lineTo x="21527" y="6941"/>
                <wp:lineTo x="21527" y="6915"/>
                <wp:lineTo x="21527" y="6889"/>
                <wp:lineTo x="21527" y="6863"/>
                <wp:lineTo x="21527" y="6837"/>
                <wp:lineTo x="21527" y="6812"/>
                <wp:lineTo x="21527" y="6785"/>
                <wp:lineTo x="21527" y="6759"/>
                <wp:lineTo x="21527" y="6733"/>
                <wp:lineTo x="21527" y="6707"/>
                <wp:lineTo x="21527" y="6681"/>
                <wp:lineTo x="21527" y="6655"/>
                <wp:lineTo x="21527" y="6629"/>
                <wp:lineTo x="21527" y="6603"/>
                <wp:lineTo x="21527" y="6577"/>
                <wp:lineTo x="21527" y="6551"/>
                <wp:lineTo x="21527" y="6525"/>
                <wp:lineTo x="21527" y="6499"/>
                <wp:lineTo x="21527" y="6474"/>
                <wp:lineTo x="21527" y="6447"/>
                <wp:lineTo x="21527" y="6421"/>
                <wp:lineTo x="21527" y="6395"/>
                <wp:lineTo x="21527" y="6369"/>
                <wp:lineTo x="21527" y="6343"/>
                <wp:lineTo x="21527" y="6317"/>
                <wp:lineTo x="21527" y="6291"/>
                <wp:lineTo x="21527" y="6265"/>
                <wp:lineTo x="21527" y="6239"/>
                <wp:lineTo x="21527" y="6213"/>
                <wp:lineTo x="21527" y="6187"/>
                <wp:lineTo x="21527" y="6161"/>
                <wp:lineTo x="21527" y="6135"/>
                <wp:lineTo x="21527" y="6109"/>
                <wp:lineTo x="21527" y="6083"/>
                <wp:lineTo x="21527" y="6057"/>
                <wp:lineTo x="21527" y="6031"/>
                <wp:lineTo x="21527" y="6005"/>
                <wp:lineTo x="21527" y="5979"/>
                <wp:lineTo x="21527" y="5953"/>
                <wp:lineTo x="21527" y="5927"/>
                <wp:lineTo x="21527" y="5901"/>
                <wp:lineTo x="21527" y="5875"/>
                <wp:lineTo x="21527" y="5848"/>
                <wp:lineTo x="21527" y="5822"/>
                <wp:lineTo x="21527" y="5796"/>
                <wp:lineTo x="21527" y="5770"/>
                <wp:lineTo x="21527" y="5745"/>
                <wp:lineTo x="21527" y="5719"/>
                <wp:lineTo x="21527" y="5693"/>
                <wp:lineTo x="21527" y="5668"/>
                <wp:lineTo x="21527" y="5642"/>
                <wp:lineTo x="21527" y="5616"/>
                <wp:lineTo x="21527" y="5590"/>
                <wp:lineTo x="21527" y="5564"/>
                <wp:lineTo x="21527" y="5537"/>
                <wp:lineTo x="21527" y="5511"/>
                <wp:lineTo x="21527" y="5485"/>
                <wp:lineTo x="21527" y="5459"/>
                <wp:lineTo x="21527" y="5433"/>
                <wp:lineTo x="21527" y="5407"/>
                <wp:lineTo x="21527" y="5381"/>
                <wp:lineTo x="21527" y="5355"/>
                <wp:lineTo x="21527" y="5329"/>
                <wp:lineTo x="21527" y="5303"/>
                <wp:lineTo x="21527" y="5277"/>
                <wp:lineTo x="21527" y="5251"/>
                <wp:lineTo x="21527" y="5225"/>
                <wp:lineTo x="21527" y="5199"/>
                <wp:lineTo x="21527" y="5173"/>
                <wp:lineTo x="21527" y="5147"/>
                <wp:lineTo x="21527" y="5121"/>
                <wp:lineTo x="21527" y="5095"/>
                <wp:lineTo x="21527" y="5069"/>
                <wp:lineTo x="21527" y="5043"/>
                <wp:lineTo x="21527" y="5017"/>
                <wp:lineTo x="21527" y="4991"/>
                <wp:lineTo x="21527" y="4965"/>
                <wp:lineTo x="21527" y="4939"/>
                <wp:lineTo x="21527" y="4913"/>
                <wp:lineTo x="21527" y="4887"/>
                <wp:lineTo x="21527" y="4861"/>
                <wp:lineTo x="21527" y="4835"/>
                <wp:lineTo x="21527" y="4809"/>
                <wp:lineTo x="21527" y="4783"/>
                <wp:lineTo x="21527" y="4757"/>
                <wp:lineTo x="21527" y="4731"/>
                <wp:lineTo x="21527" y="4705"/>
                <wp:lineTo x="21527" y="4679"/>
                <wp:lineTo x="21527" y="4653"/>
                <wp:lineTo x="21527" y="4626"/>
                <wp:lineTo x="21527" y="4600"/>
                <wp:lineTo x="21527" y="4574"/>
                <wp:lineTo x="21527" y="4548"/>
                <wp:lineTo x="21527" y="4523"/>
                <wp:lineTo x="21527" y="4497"/>
                <wp:lineTo x="21527" y="4471"/>
                <wp:lineTo x="21527" y="4445"/>
                <wp:lineTo x="21527" y="4419"/>
                <wp:lineTo x="21527" y="4393"/>
                <wp:lineTo x="21527" y="4367"/>
                <wp:lineTo x="21527" y="4341"/>
                <wp:lineTo x="21527" y="4316"/>
                <wp:lineTo x="21527" y="4289"/>
                <wp:lineTo x="21527" y="4263"/>
                <wp:lineTo x="21527" y="4237"/>
                <wp:lineTo x="21491" y="4211"/>
                <wp:lineTo x="21491" y="4185"/>
                <wp:lineTo x="21491" y="4159"/>
                <wp:lineTo x="21491" y="4133"/>
                <wp:lineTo x="21491" y="4107"/>
                <wp:lineTo x="21491" y="4081"/>
                <wp:lineTo x="21491" y="4055"/>
                <wp:lineTo x="21491" y="4029"/>
                <wp:lineTo x="21491" y="4003"/>
                <wp:lineTo x="21491" y="3977"/>
                <wp:lineTo x="21491" y="3951"/>
                <wp:lineTo x="21491" y="3925"/>
                <wp:lineTo x="21491" y="3899"/>
                <wp:lineTo x="21491" y="3873"/>
                <wp:lineTo x="21491" y="3847"/>
                <wp:lineTo x="21491" y="3821"/>
                <wp:lineTo x="21491" y="3795"/>
                <wp:lineTo x="21491" y="3769"/>
                <wp:lineTo x="21491" y="3743"/>
                <wp:lineTo x="21491" y="3717"/>
                <wp:lineTo x="21491" y="3690"/>
                <wp:lineTo x="21491" y="3664"/>
                <wp:lineTo x="21491" y="3638"/>
                <wp:lineTo x="21491" y="3612"/>
                <wp:lineTo x="21491" y="3587"/>
                <wp:lineTo x="21491" y="3561"/>
                <wp:lineTo x="21491" y="3535"/>
                <wp:lineTo x="21491" y="3509"/>
                <wp:lineTo x="21491" y="3483"/>
                <wp:lineTo x="21491" y="3457"/>
                <wp:lineTo x="21491" y="3431"/>
                <wp:lineTo x="21491" y="3406"/>
                <wp:lineTo x="21491" y="3379"/>
                <wp:lineTo x="21491" y="3353"/>
                <wp:lineTo x="21491" y="3327"/>
                <wp:lineTo x="21491" y="3301"/>
                <wp:lineTo x="21491" y="3275"/>
                <wp:lineTo x="21491" y="3249"/>
                <wp:lineTo x="21491" y="3223"/>
                <wp:lineTo x="21491" y="3197"/>
                <wp:lineTo x="21491" y="3171"/>
                <wp:lineTo x="21491" y="3145"/>
                <wp:lineTo x="21491" y="3119"/>
                <wp:lineTo x="21491" y="3093"/>
                <wp:lineTo x="21491" y="3067"/>
                <wp:lineTo x="21491" y="3041"/>
                <wp:lineTo x="21491" y="3015"/>
                <wp:lineTo x="21491" y="2989"/>
                <wp:lineTo x="21491" y="2963"/>
                <wp:lineTo x="21491" y="2937"/>
                <wp:lineTo x="21491" y="2911"/>
                <wp:lineTo x="21491" y="2885"/>
                <wp:lineTo x="21491" y="2859"/>
                <wp:lineTo x="21491" y="2833"/>
                <wp:lineTo x="21491" y="2807"/>
                <wp:lineTo x="21491" y="2781"/>
                <wp:lineTo x="21491" y="2755"/>
                <wp:lineTo x="21491" y="2729"/>
                <wp:lineTo x="21491" y="2703"/>
                <wp:lineTo x="21491" y="2677"/>
                <wp:lineTo x="21491" y="2651"/>
                <wp:lineTo x="21491" y="2625"/>
                <wp:lineTo x="21491" y="2599"/>
                <wp:lineTo x="21491" y="2573"/>
                <wp:lineTo x="21491" y="2547"/>
                <wp:lineTo x="21491" y="2521"/>
                <wp:lineTo x="21491" y="2495"/>
                <wp:lineTo x="21491" y="2468"/>
                <wp:lineTo x="21491" y="2442"/>
                <wp:lineTo x="21491" y="2416"/>
                <wp:lineTo x="21491" y="2390"/>
                <wp:lineTo x="21491" y="2364"/>
                <wp:lineTo x="21491" y="2338"/>
                <wp:lineTo x="21491" y="2312"/>
                <wp:lineTo x="21491" y="2286"/>
                <wp:lineTo x="21491" y="2261"/>
                <wp:lineTo x="21491" y="2235"/>
                <wp:lineTo x="21491" y="2209"/>
                <wp:lineTo x="21491" y="2183"/>
                <wp:lineTo x="21491" y="2158"/>
                <wp:lineTo x="21491" y="2131"/>
                <wp:lineTo x="21491" y="2105"/>
                <wp:lineTo x="21491" y="2079"/>
                <wp:lineTo x="21491" y="2053"/>
                <wp:lineTo x="21491" y="2027"/>
                <wp:lineTo x="21491" y="2001"/>
                <wp:lineTo x="21491" y="1975"/>
                <wp:lineTo x="21491" y="1949"/>
                <wp:lineTo x="21491" y="1923"/>
                <wp:lineTo x="21491" y="1897"/>
                <wp:lineTo x="21491" y="1871"/>
                <wp:lineTo x="21491" y="1845"/>
                <wp:lineTo x="21491" y="1819"/>
                <wp:lineTo x="21491" y="1793"/>
                <wp:lineTo x="21491" y="1767"/>
                <wp:lineTo x="21491" y="1741"/>
                <wp:lineTo x="21491" y="1715"/>
                <wp:lineTo x="21491" y="1689"/>
                <wp:lineTo x="21491" y="1663"/>
                <wp:lineTo x="21491" y="1637"/>
                <wp:lineTo x="21491" y="1611"/>
                <wp:lineTo x="21491" y="1585"/>
                <wp:lineTo x="21491" y="1559"/>
                <wp:lineTo x="21491" y="1532"/>
                <wp:lineTo x="21491" y="1506"/>
                <wp:lineTo x="21491" y="1480"/>
                <wp:lineTo x="21491" y="1454"/>
                <wp:lineTo x="21491" y="1429"/>
                <wp:lineTo x="21491" y="1403"/>
                <wp:lineTo x="21491" y="1377"/>
                <wp:lineTo x="21491" y="1351"/>
                <wp:lineTo x="21491" y="1325"/>
                <wp:lineTo x="21491" y="1299"/>
                <wp:lineTo x="21491" y="1273"/>
                <wp:lineTo x="21491" y="1247"/>
                <wp:lineTo x="21491" y="1220"/>
                <wp:lineTo x="21491" y="1194"/>
                <wp:lineTo x="21491" y="1168"/>
                <wp:lineTo x="21491" y="1142"/>
                <wp:lineTo x="21491" y="1117"/>
                <wp:lineTo x="21491" y="1091"/>
                <wp:lineTo x="21491" y="1065"/>
                <wp:lineTo x="21491" y="1039"/>
                <wp:lineTo x="21491" y="1013"/>
                <wp:lineTo x="21491" y="987"/>
                <wp:lineTo x="21491" y="961"/>
                <wp:lineTo x="21491" y="935"/>
                <wp:lineTo x="21491" y="909"/>
                <wp:lineTo x="21491" y="883"/>
                <wp:lineTo x="21491" y="857"/>
                <wp:lineTo x="21491" y="831"/>
                <wp:lineTo x="21491" y="805"/>
                <wp:lineTo x="21491" y="779"/>
                <wp:lineTo x="21491" y="753"/>
                <wp:lineTo x="21491" y="727"/>
                <wp:lineTo x="21491" y="701"/>
                <wp:lineTo x="21491" y="675"/>
                <wp:lineTo x="21491" y="649"/>
                <wp:lineTo x="21491" y="623"/>
                <wp:lineTo x="21491" y="597"/>
                <wp:lineTo x="21491" y="571"/>
                <wp:lineTo x="21491" y="545"/>
                <wp:lineTo x="21491" y="519"/>
                <wp:lineTo x="21491" y="493"/>
                <wp:lineTo x="21491" y="467"/>
                <wp:lineTo x="21491" y="441"/>
                <wp:lineTo x="21491" y="415"/>
                <wp:lineTo x="21491" y="389"/>
                <wp:lineTo x="21491" y="363"/>
                <wp:lineTo x="21491" y="337"/>
                <wp:lineTo x="21491" y="310"/>
                <wp:lineTo x="21491" y="284"/>
                <wp:lineTo x="21491" y="258"/>
                <wp:lineTo x="21491" y="232"/>
                <wp:lineTo x="21491" y="206"/>
                <wp:lineTo x="21491" y="180"/>
                <wp:lineTo x="21491" y="154"/>
                <wp:lineTo x="21491" y="128"/>
                <wp:lineTo x="21491" y="102"/>
                <wp:lineTo x="21491" y="76"/>
                <wp:lineTo x="21491" y="50"/>
                <wp:lineTo x="21491" y="24"/>
                <wp:lineTo x="16" y="24"/>
              </wp:wrapPolygon>
            </wp:wrapTight>
            <wp:docPr id="6" name="Рисунок 28" descr="UK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8" descr="UKRGERB"/>
                    <pic:cNvPicPr>
                      <a:picLocks noChangeAspect="1" noChangeArrowheads="1"/>
                    </pic:cNvPicPr>
                  </pic:nvPicPr>
                  <pic:blipFill>
                    <a:blip r:embed="rId2"/>
                    <a:stretch>
                      <a:fillRect/>
                    </a:stretch>
                  </pic:blipFill>
                  <pic:spPr bwMode="auto">
                    <a:xfrm>
                      <a:off x="0" y="0"/>
                      <a:ext cx="485140" cy="650875"/>
                    </a:xfrm>
                    <a:prstGeom prst="rect">
                      <a:avLst/>
                    </a:prstGeom>
                  </pic:spPr>
                </pic:pic>
              </a:graphicData>
            </a:graphic>
          </wp:anchor>
        </w:drawing>
        <mc:AlternateContent>
          <mc:Choice Requires="wpg">
            <w:drawing>
              <wp:anchor behindDoc="0" distT="0" distB="0" distL="0" distR="0" simplePos="0" locked="0" layoutInCell="0" allowOverlap="1" relativeHeight="14" wp14:anchorId="0E2A932B">
                <wp:simplePos x="0" y="0"/>
                <wp:positionH relativeFrom="column">
                  <wp:posOffset>0</wp:posOffset>
                </wp:positionH>
                <wp:positionV relativeFrom="paragraph">
                  <wp:posOffset>635</wp:posOffset>
                </wp:positionV>
                <wp:extent cx="1586230" cy="760095"/>
                <wp:effectExtent l="0" t="0" r="0" b="0"/>
                <wp:wrapNone/>
                <wp:docPr id="7" name="Группа 11"/>
                <a:graphic xmlns:a="http://schemas.openxmlformats.org/drawingml/2006/main">
                  <a:graphicData uri="http://schemas.microsoft.com/office/word/2010/wordprocessingGroup">
                    <wpg:wgp>
                      <wpg:cNvGrpSpPr/>
                      <wpg:grpSpPr>
                        <a:xfrm>
                          <a:off x="0" y="0"/>
                          <a:ext cx="1586160" cy="759960"/>
                          <a:chOff x="0" y="0"/>
                          <a:chExt cx="1586160" cy="759960"/>
                        </a:xfrm>
                      </wpg:grpSpPr>
                      <wps:wsp>
                        <wps:cNvSpPr/>
                        <wps:spPr>
                          <a:xfrm>
                            <a:off x="0" y="144720"/>
                            <a:ext cx="1586160" cy="355680"/>
                          </a:xfrm>
                          <a:prstGeom prst="rect">
                            <a:avLst/>
                          </a:prstGeom>
                          <a:solidFill>
                            <a:srgbClr val="ffffff"/>
                          </a:solidFill>
                          <a:ln w="0">
                            <a:noFill/>
                          </a:ln>
                        </wps:spPr>
                        <wps:style>
                          <a:lnRef idx="0"/>
                          <a:fillRef idx="0"/>
                          <a:effectRef idx="0"/>
                          <a:fontRef idx="minor"/>
                        </wps:style>
                        <wps:bodyPr/>
                      </wps:wsp>
                      <wps:wsp>
                        <wps:cNvSpPr/>
                        <wps:spPr>
                          <a:xfrm>
                            <a:off x="79200" y="0"/>
                            <a:ext cx="720" cy="759960"/>
                          </a:xfrm>
                          <a:prstGeom prst="line">
                            <a:avLst/>
                          </a:prstGeom>
                          <a:ln w="12700">
                            <a:solidFill>
                              <a:srgbClr val="0000ff"/>
                            </a:solidFill>
                            <a:round/>
                            <a:headEnd len="med" type="triangle" w="med"/>
                            <a:tailEnd len="med" type="triangle" w="med"/>
                          </a:ln>
                        </wps:spPr>
                        <wps:style>
                          <a:lnRef idx="0"/>
                          <a:fillRef idx="0"/>
                          <a:effectRef idx="0"/>
                          <a:fontRef idx="minor"/>
                        </wps:style>
                        <wps:bodyPr/>
                      </wps:wsp>
                    </wpg:wgp>
                  </a:graphicData>
                </a:graphic>
              </wp:anchor>
            </w:drawing>
          </mc:Choice>
          <mc:Fallback>
            <w:pict>
              <v:group id="shape_0" alt="Группа 11" style="position:absolute;margin-left:0pt;margin-top:0.05pt;width:124.9pt;height:59.8pt" coordorigin="0,1" coordsize="2498,1196">
                <v:rect id="shape_0" path="m0,0l-2147483645,0l-2147483645,-2147483646l0,-2147483646xe" fillcolor="white" stroked="f" o:allowincell="f" style="position:absolute;left:0;top:229;width:2497;height:559;mso-wrap-style:none;v-text-anchor:middle">
                  <v:fill o:detectmouseclick="t" type="solid" color2="black"/>
                  <v:stroke color="#3465a4" joinstyle="round" endcap="flat"/>
                  <w10:wrap type="none"/>
                </v:rect>
                <v:line id="shape_0" from="125,1" to="125,1197" stroked="t" o:allowincell="f" style="position:absolute">
                  <v:stroke color="blue" weight="12600" startarrow="block" endarrow="block" startarrowwidth="medium" startarrowlength="medium" endarrowwidth="medium" endarrowlength="medium" joinstyle="round" endcap="flat"/>
                  <v:fill o:detectmouseclick="t" on="false"/>
                  <w10:wrap type="none"/>
                </v:line>
              </v:group>
            </w:pict>
          </mc:Fallback>
        </mc:AlternateContent>
        <mc:AlternateContent>
          <mc:Choice Requires="wps">
            <w:drawing>
              <wp:anchor behindDoc="0" distT="6985" distB="6985" distL="6985" distR="6985" simplePos="0" locked="0" layoutInCell="0" allowOverlap="1" relativeHeight="15" wp14:anchorId="040CE608">
                <wp:simplePos x="0" y="0"/>
                <wp:positionH relativeFrom="column">
                  <wp:posOffset>-1092200</wp:posOffset>
                </wp:positionH>
                <wp:positionV relativeFrom="paragraph">
                  <wp:posOffset>114935</wp:posOffset>
                </wp:positionV>
                <wp:extent cx="19685" cy="448310"/>
                <wp:effectExtent l="6985" t="6985" r="6985" b="6985"/>
                <wp:wrapNone/>
                <wp:docPr id="8" name="Прямая соединительная линия 16"/>
                <a:graphic xmlns:a="http://schemas.openxmlformats.org/drawingml/2006/main">
                  <a:graphicData uri="http://schemas.microsoft.com/office/word/2010/wordprocessingShape">
                    <wps:wsp>
                      <wps:cNvSpPr/>
                      <wps:spPr>
                        <a:xfrm>
                          <a:off x="0" y="0"/>
                          <a:ext cx="19800" cy="44820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86pt,9.05pt" to="-84.5pt,44.3pt" ID="Прямая соединительная линия 16" stroked="t" o:allowincell="f" style="position:absolute" wp14:anchorId="040CE608">
                <v:stroke color="blue" weight="12600" joinstyle="round" endcap="flat"/>
                <v:fill o:detectmouseclick="t" on="false"/>
                <w10:wrap type="none"/>
              </v:line>
            </w:pict>
          </mc:Fallback>
        </mc:AlternateContent>
        <mc:AlternateContent>
          <mc:Choice Requires="wps">
            <w:drawing>
              <wp:anchor behindDoc="0" distT="6350" distB="6350" distL="6350" distR="6985" simplePos="0" locked="0" layoutInCell="0" allowOverlap="1" relativeHeight="16" wp14:anchorId="4F8ACAA2">
                <wp:simplePos x="0" y="0"/>
                <wp:positionH relativeFrom="column">
                  <wp:posOffset>6463030</wp:posOffset>
                </wp:positionH>
                <wp:positionV relativeFrom="paragraph">
                  <wp:posOffset>342900</wp:posOffset>
                </wp:positionV>
                <wp:extent cx="19685" cy="448310"/>
                <wp:effectExtent l="6350" t="6350" r="6985" b="6350"/>
                <wp:wrapNone/>
                <wp:docPr id="9" name="Прямая соединительная линия 15"/>
                <a:graphic xmlns:a="http://schemas.openxmlformats.org/drawingml/2006/main">
                  <a:graphicData uri="http://schemas.microsoft.com/office/word/2010/wordprocessingShape">
                    <wps:wsp>
                      <wps:cNvSpPr/>
                      <wps:spPr>
                        <a:xfrm>
                          <a:off x="0" y="0"/>
                          <a:ext cx="19800" cy="44820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8.9pt,27pt" to="510.4pt,62.25pt" ID="Прямая соединительная линия 15" stroked="t" o:allowincell="f" style="position:absolute" wp14:anchorId="4F8ACAA2">
                <v:stroke color="blue" weight="12600" joinstyle="round" endcap="flat"/>
                <v:fill o:detectmouseclick="t" on="false"/>
                <w10:wrap type="none"/>
              </v:line>
            </w:pict>
          </mc:Fallback>
        </mc:AlternateContent>
        <mc:AlternateContent>
          <mc:Choice Requires="wps">
            <w:drawing>
              <wp:anchor behindDoc="0" distT="38100" distB="38100" distL="635" distR="635" simplePos="0" locked="0" layoutInCell="0" allowOverlap="1" relativeHeight="18" wp14:anchorId="1AAF9B49">
                <wp:simplePos x="0" y="0"/>
                <wp:positionH relativeFrom="column">
                  <wp:posOffset>6464935</wp:posOffset>
                </wp:positionH>
                <wp:positionV relativeFrom="paragraph">
                  <wp:posOffset>343535</wp:posOffset>
                </wp:positionV>
                <wp:extent cx="466725" cy="635"/>
                <wp:effectExtent l="635" t="38100" r="635" b="38100"/>
                <wp:wrapNone/>
                <wp:docPr id="10" name="Прямая соединительная линия 14"/>
                <a:graphic xmlns:a="http://schemas.openxmlformats.org/drawingml/2006/main">
                  <a:graphicData uri="http://schemas.microsoft.com/office/word/2010/wordprocessingShape">
                    <wps:wsp>
                      <wps:cNvSpPr/>
                      <wps:spPr>
                        <a:xfrm>
                          <a:off x="0" y="0"/>
                          <a:ext cx="466560" cy="72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27.05pt" to="545.75pt,27.05pt" ID="Прямая соединительная линия 14" stroked="t" o:allowincell="f" style="position:absolute" wp14:anchorId="1AAF9B49">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6985" distB="6985" distL="6350" distR="6985" simplePos="0" locked="0" layoutInCell="0" allowOverlap="1" relativeHeight="19" wp14:anchorId="37728275">
                <wp:simplePos x="0" y="0"/>
                <wp:positionH relativeFrom="column">
                  <wp:posOffset>6471285</wp:posOffset>
                </wp:positionH>
                <wp:positionV relativeFrom="paragraph">
                  <wp:posOffset>-1270</wp:posOffset>
                </wp:positionV>
                <wp:extent cx="413385" cy="635"/>
                <wp:effectExtent l="6350" t="6985" r="6985" b="6985"/>
                <wp:wrapNone/>
                <wp:docPr id="11" name="Прямая соединительная линия 26"/>
                <a:graphic xmlns:a="http://schemas.openxmlformats.org/drawingml/2006/main">
                  <a:graphicData uri="http://schemas.microsoft.com/office/word/2010/wordprocessingShape">
                    <wps:wsp>
                      <wps:cNvSpPr/>
                      <wps:spPr>
                        <a:xfrm>
                          <a:off x="0" y="0"/>
                          <a:ext cx="41328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0.1pt" to="542.05pt,-0.1pt" ID="Прямая соединительная линия 26" stroked="t" o:allowincell="f" style="position:absolute" wp14:anchorId="37728275">
                <v:stroke color="blue" weight="12600" joinstyle="round" endcap="flat"/>
                <v:fill o:detectmouseclick="t" on="false"/>
                <w10:wrap type="none"/>
              </v:line>
            </w:pict>
          </mc:Fallback>
        </mc:AlternateContent>
      </w:r>
    </w:p>
    <w:p>
      <w:pPr>
        <w:pStyle w:val="Style24"/>
        <w:rPr>
          <w:spacing w:val="-8"/>
          <w:sz w:val="30"/>
          <w:szCs w:val="30"/>
          <w14:shadow w14:blurRad="50800" w14:dist="38100" w14:dir="2700000" w14:sx="100000" w14:sy="100000" w14:kx="0" w14:ky="0" w14:algn="tl">
            <w14:srgbClr w14:val="000000">
              <w14:alpha w14:val="60000"/>
            </w14:srgbClr>
          </w14:shadow>
        </w:rPr>
      </w:pPr>
      <w:r>
        <w:rPr>
          <w:spacing w:val="-8"/>
          <w:sz w:val="30"/>
          <w:szCs w:val="30"/>
          <w14:shadow w14:blurRad="50800" w14:dist="38100" w14:dir="2700000" w14:sx="100000" w14:sy="100000" w14:kx="0" w14:ky="0" w14:algn="tl">
            <w14:srgbClr w14:val="000000">
              <w14:alpha w14:val="60000"/>
            </w14:srgbClr>
          </w14:shadow>
        </w:rPr>
      </w:r>
    </w:p>
    <w:p>
      <w:pPr>
        <w:pStyle w:val="Style24"/>
        <w:rPr>
          <w:spacing w:val="-8"/>
          <w:sz w:val="36"/>
          <w:szCs w:val="36"/>
          <w14:shadow w14:blurRad="50800" w14:dist="38100" w14:dir="2700000" w14:sx="100000" w14:sy="100000" w14:kx="0" w14:ky="0" w14:algn="tl">
            <w14:srgbClr w14:val="000000">
              <w14:alpha w14:val="60000"/>
            </w14:srgbClr>
          </w14:shadow>
        </w:rPr>
      </w:pPr>
      <w:r>
        <w:rPr>
          <w:spacing w:val="-8"/>
          <w:sz w:val="36"/>
          <w:szCs w:val="36"/>
          <w14:shadow w14:blurRad="50800" w14:dist="38100" w14:dir="2700000" w14:sx="100000" w14:sy="100000" w14:kx="0" w14:ky="0" w14:algn="tl">
            <w14:srgbClr w14:val="000000">
              <w14:alpha w14:val="60000"/>
            </w14:srgbClr>
          </w14:shadow>
        </w:rPr>
      </w:r>
    </w:p>
    <w:p>
      <w:pPr>
        <w:pStyle w:val="Style24"/>
        <w:rPr>
          <w:spacing w:val="-8"/>
          <w:sz w:val="36"/>
          <w:szCs w:val="36"/>
          <w14:shadow w14:blurRad="50800" w14:dist="38100" w14:dir="2700000" w14:sx="100000" w14:sy="100000" w14:kx="0" w14:ky="0" w14:algn="tl">
            <w14:srgbClr w14:val="000000">
              <w14:alpha w14:val="60000"/>
            </w14:srgbClr>
          </w14:shadow>
        </w:rPr>
      </w:pPr>
      <w:r>
        <mc:AlternateContent>
          <mc:Choice Requires="wps">
            <w:drawing>
              <wp:anchor behindDoc="0" distT="6350" distB="6985" distL="6350" distR="6985" simplePos="0" locked="0" layoutInCell="0" allowOverlap="1" relativeHeight="17" wp14:anchorId="09F61D9C">
                <wp:simplePos x="0" y="0"/>
                <wp:positionH relativeFrom="column">
                  <wp:posOffset>6471285</wp:posOffset>
                </wp:positionH>
                <wp:positionV relativeFrom="paragraph">
                  <wp:posOffset>195580</wp:posOffset>
                </wp:positionV>
                <wp:extent cx="626745" cy="635"/>
                <wp:effectExtent l="6350" t="6350" r="6985" b="6985"/>
                <wp:wrapNone/>
                <wp:docPr id="12" name="Прямая соединительная линия 1"/>
                <a:graphic xmlns:a="http://schemas.openxmlformats.org/drawingml/2006/main">
                  <a:graphicData uri="http://schemas.microsoft.com/office/word/2010/wordprocessingShape">
                    <wps:wsp>
                      <wps:cNvSpPr/>
                      <wps:spPr>
                        <a:xfrm>
                          <a:off x="0" y="0"/>
                          <a:ext cx="626760" cy="720"/>
                        </a:xfrm>
                        <a:prstGeom prst="line">
                          <a:avLst/>
                        </a:prstGeom>
                        <a:ln w="12700">
                          <a:solidFill>
                            <a:srgbClr val="0000ff"/>
                          </a:solidFill>
                          <a:round/>
                        </a:ln>
                      </wps:spPr>
                      <wps:style>
                        <a:lnRef idx="0"/>
                        <a:fillRef idx="0"/>
                        <a:effectRef idx="0"/>
                        <a:fontRef idx="minor"/>
                      </wps:style>
                      <wps:bodyPr/>
                    </wps:wsp>
                  </a:graphicData>
                </a:graphic>
              </wp:anchor>
            </w:drawing>
          </mc:Choice>
          <mc:Fallback>
            <w:pict>
              <v:line id="shape_0" from="509.55pt,15.4pt" to="558.85pt,15.4pt" ID="Прямая соединительная линия 1" stroked="t" o:allowincell="f" style="position:absolute" wp14:anchorId="09F61D9C">
                <v:stroke color="blue" weight="12600" joinstyle="round" endcap="flat"/>
                <v:fill o:detectmouseclick="t" on="false"/>
                <w10:wrap type="none"/>
              </v:line>
            </w:pict>
          </mc:Fallback>
        </mc:AlternateContent>
      </w:r>
      <w:r>
        <w:rPr>
          <w:spacing w:val="-8"/>
          <w:sz w:val="36"/>
          <w:szCs w:val="36"/>
          <w14:shadow w14:blurRad="50800" w14:dist="38100" w14:dir="2700000" w14:sx="100000" w14:sy="100000" w14:kx="0" w14:ky="0" w14:algn="tl">
            <w14:srgbClr w14:val="000000">
              <w14:alpha w14:val="60000"/>
            </w14:srgbClr>
          </w14:shadow>
        </w:rPr>
        <w:t>НІКОПОЛЬСЬКА МІСЬКА РАДА</w:t>
      </w:r>
    </w:p>
    <w:p>
      <w:pPr>
        <w:pStyle w:val="Style24"/>
        <w:rPr>
          <w:spacing w:val="-8"/>
          <w:sz w:val="32"/>
          <w:szCs w:val="32"/>
          <w14:shadow w14:blurRad="50800" w14:dist="38100" w14:dir="2700000" w14:sx="100000" w14:sy="100000" w14:kx="0" w14:ky="0" w14:algn="tl">
            <w14:srgbClr w14:val="000000">
              <w14:alpha w14:val="60000"/>
            </w14:srgbClr>
          </w14:shadow>
        </w:rPr>
      </w:pPr>
      <w:r>
        <w:rPr>
          <w:spacing w:val="-8"/>
          <w:sz w:val="32"/>
          <w:szCs w:val="32"/>
          <w14:shadow w14:blurRad="50800" w14:dist="38100" w14:dir="2700000" w14:sx="100000" w14:sy="100000" w14:kx="0" w14:ky="0" w14:algn="tl">
            <w14:srgbClr w14:val="000000">
              <w14:alpha w14:val="60000"/>
            </w14:srgbClr>
          </w14:shadow>
        </w:rPr>
        <w:t>VІІІ СКЛИКАННЯ</w:t>
      </w:r>
    </w:p>
    <w:p>
      <w:pPr>
        <w:pStyle w:val="Style24"/>
        <w:rPr>
          <w:spacing w:val="8"/>
          <w:sz w:val="10"/>
          <w14:shadow w14:blurRad="50800" w14:dist="38100" w14:dir="2700000" w14:sx="100000" w14:sy="100000" w14:kx="0" w14:ky="0" w14:algn="tl">
            <w14:srgbClr w14:val="000000">
              <w14:alpha w14:val="60000"/>
            </w14:srgbClr>
          </w14:shadow>
        </w:rPr>
      </w:pPr>
      <w:r>
        <w:rPr>
          <w:spacing w:val="8"/>
          <w:sz w:val="10"/>
          <w14:shadow w14:blurRad="50800" w14:dist="38100" w14:dir="2700000" w14:sx="100000" w14:sy="100000" w14:kx="0" w14:ky="0" w14:algn="tl">
            <w14:srgbClr w14:val="000000">
              <w14:alpha w14:val="60000"/>
            </w14:srgbClr>
          </w14:shadow>
        </w:rPr>
        <mc:AlternateContent>
          <mc:Choice Requires="wps">
            <w:drawing>
              <wp:anchor behindDoc="0" distT="0" distB="0" distL="35560" distR="35560" simplePos="0" locked="0" layoutInCell="0" allowOverlap="1" relativeHeight="7" wp14:anchorId="78E2E275">
                <wp:simplePos x="0" y="0"/>
                <wp:positionH relativeFrom="column">
                  <wp:posOffset>6493510</wp:posOffset>
                </wp:positionH>
                <wp:positionV relativeFrom="paragraph">
                  <wp:posOffset>39370</wp:posOffset>
                </wp:positionV>
                <wp:extent cx="23495" cy="643890"/>
                <wp:effectExtent l="35560" t="0" r="35560" b="0"/>
                <wp:wrapNone/>
                <wp:docPr id="13" name="Прямая соединительная линия 23"/>
                <a:graphic xmlns:a="http://schemas.openxmlformats.org/drawingml/2006/main">
                  <a:graphicData uri="http://schemas.microsoft.com/office/word/2010/wordprocessingShape">
                    <wps:wsp>
                      <wps:cNvSpPr/>
                      <wps:spPr>
                        <a:xfrm>
                          <a:off x="0" y="0"/>
                          <a:ext cx="23400" cy="64404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11.3pt,3.1pt" to="513.1pt,53.75pt" ID="Прямая соединительная линия 23" stroked="t" o:allowincell="f" style="position:absolute" wp14:anchorId="78E2E275">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0" distB="0" distL="635" distR="0" simplePos="0" locked="0" layoutInCell="0" allowOverlap="1" relativeHeight="8" wp14:anchorId="07DCBAF3">
                <wp:simplePos x="0" y="0"/>
                <wp:positionH relativeFrom="column">
                  <wp:posOffset>6464935</wp:posOffset>
                </wp:positionH>
                <wp:positionV relativeFrom="paragraph">
                  <wp:posOffset>177165</wp:posOffset>
                </wp:positionV>
                <wp:extent cx="113030" cy="118110"/>
                <wp:effectExtent l="635" t="0" r="0" b="0"/>
                <wp:wrapNone/>
                <wp:docPr id="14" name="Прямая соединительная линия 24"/>
                <a:graphic xmlns:a="http://schemas.openxmlformats.org/drawingml/2006/main">
                  <a:graphicData uri="http://schemas.microsoft.com/office/word/2010/wordprocessingShape">
                    <wps:wsp>
                      <wps:cNvSpPr/>
                      <wps:spPr>
                        <a:xfrm>
                          <a:off x="0" y="0"/>
                          <a:ext cx="113040" cy="118080"/>
                        </a:xfrm>
                        <a:prstGeom prst="line">
                          <a:avLst/>
                        </a:prstGeom>
                        <a:ln w="12700">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509.05pt,13.95pt" to="517.9pt,23.2pt" ID="Прямая соединительная линия 24" stroked="t" o:allowincell="f" style="position:absolute" wp14:anchorId="07DCBAF3">
                <v:stroke color="blue" weight="1260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635" distB="0" distL="635" distR="0" simplePos="0" locked="0" layoutInCell="0" allowOverlap="1" relativeHeight="9" wp14:anchorId="305954FB">
                <wp:simplePos x="0" y="0"/>
                <wp:positionH relativeFrom="column">
                  <wp:posOffset>6464935</wp:posOffset>
                </wp:positionH>
                <wp:positionV relativeFrom="paragraph">
                  <wp:posOffset>177165</wp:posOffset>
                </wp:positionV>
                <wp:extent cx="1355725" cy="217805"/>
                <wp:effectExtent l="635" t="635" r="0" b="0"/>
                <wp:wrapNone/>
                <wp:docPr id="15" name="Надпись 22"/>
                <a:graphic xmlns:a="http://schemas.openxmlformats.org/drawingml/2006/main">
                  <a:graphicData uri="http://schemas.microsoft.com/office/word/2010/wordprocessingShape">
                    <wps:wsp>
                      <wps:cNvSpPr/>
                      <wps:spPr>
                        <a:xfrm>
                          <a:off x="0" y="0"/>
                          <a:ext cx="1355760" cy="217800"/>
                        </a:xfrm>
                        <a:prstGeom prst="rect">
                          <a:avLst/>
                        </a:prstGeom>
                        <a:noFill/>
                        <a:ln w="0">
                          <a:noFill/>
                        </a:ln>
                      </wps:spPr>
                      <wps:style>
                        <a:lnRef idx="0"/>
                        <a:fillRef idx="0"/>
                        <a:effectRef idx="0"/>
                        <a:fontRef idx="minor"/>
                      </wps:style>
                      <wps:txbx>
                        <w:txbxContent>
                          <w:p>
                            <w:pPr>
                              <w:pStyle w:val="Style28"/>
                              <w:rPr>
                                <w:color w:val="000000"/>
                              </w:rPr>
                            </w:pPr>
                            <w:r>
                              <w:rPr>
                                <w:color w:val="000000"/>
                              </w:rPr>
                              <w:t xml:space="preserve">                </w:t>
                            </w:r>
                          </w:p>
                        </w:txbxContent>
                      </wps:txbx>
                      <wps:bodyPr lIns="0" rIns="0" tIns="0" bIns="0" anchor="t" upright="1">
                        <a:noAutofit/>
                      </wps:bodyPr>
                    </wps:wsp>
                  </a:graphicData>
                </a:graphic>
              </wp:anchor>
            </w:drawing>
          </mc:Choice>
          <mc:Fallback>
            <w:pict>
              <v:rect id="shape_0" ID="Надпись 22" path="m0,0l-2147483645,0l-2147483645,-2147483646l0,-2147483646xe" stroked="f" o:allowincell="f" style="position:absolute;margin-left:509.05pt;margin-top:13.95pt;width:106.7pt;height:17.1pt;mso-wrap-style:square;v-text-anchor:top" wp14:anchorId="305954FB">
                <v:fill o:detectmouseclick="t" on="false"/>
                <v:stroke color="#3465a4" joinstyle="round" endcap="flat"/>
                <v:textbox>
                  <w:txbxContent>
                    <w:p>
                      <w:pPr>
                        <w:pStyle w:val="Style28"/>
                        <w:rPr>
                          <w:color w:val="000000"/>
                        </w:rPr>
                      </w:pPr>
                      <w:r>
                        <w:rPr>
                          <w:color w:val="000000"/>
                        </w:rPr>
                        <w:t xml:space="preserve">                </w:t>
                      </w:r>
                    </w:p>
                  </w:txbxContent>
                </v:textbox>
                <w10:wrap type="none"/>
              </v:rect>
            </w:pict>
          </mc:Fallback>
        </mc:AlternateContent>
      </w:r>
    </w:p>
    <w:tbl>
      <w:tblPr>
        <w:tblpPr w:vertAnchor="text" w:horzAnchor="margin" w:leftFromText="180" w:rightFromText="180" w:tblpX="108" w:tblpY="-24"/>
        <w:tblW w:w="96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7"/>
      </w:tblGrid>
      <w:tr>
        <w:trPr>
          <w:trHeight w:val="282" w:hRule="atLeast"/>
        </w:trPr>
        <w:tc>
          <w:tcPr>
            <w:tcW w:w="9627" w:type="dxa"/>
            <w:tcBorders>
              <w:top w:val="thinThickSmallGap" w:sz="24" w:space="0" w:color="000000"/>
            </w:tcBorders>
          </w:tcPr>
          <w:p>
            <w:pPr>
              <w:pStyle w:val="Style24"/>
              <w:widowControl w:val="false"/>
              <w:jc w:val="left"/>
              <w:rPr>
                <w:b w:val="false"/>
                <w:b w:val="false"/>
                <w:sz w:val="2"/>
                <w:szCs w:val="2"/>
              </w:rPr>
            </w:pPr>
            <w:r>
              <w:rPr>
                <w:b w:val="false"/>
                <w:sz w:val="2"/>
                <w:szCs w:val="2"/>
              </w:rPr>
            </w:r>
          </w:p>
        </w:tc>
      </w:tr>
    </w:tbl>
    <w:p>
      <w:pPr>
        <w:pStyle w:val="Normal"/>
        <w:rPr>
          <w:sz w:val="16"/>
        </w:rPr>
      </w:pPr>
      <w:r>
        <w:rPr>
          <w:sz w:val="16"/>
        </w:rPr>
      </w:r>
    </w:p>
    <w:p>
      <w:pPr>
        <w:pStyle w:val="1"/>
        <w:tabs>
          <w:tab w:val="clear" w:pos="708"/>
          <w:tab w:val="center" w:pos="4819" w:leader="none"/>
          <w:tab w:val="left" w:pos="7040" w:leader="none"/>
        </w:tabs>
        <w:rPr>
          <w:spacing w:val="56"/>
          <w:sz w:val="32"/>
          <w:szCs w:val="32"/>
        </w:rPr>
      </w:pPr>
      <w:r>
        <w:rPr>
          <w:spacing w:val="56"/>
          <w:sz w:val="32"/>
          <w:szCs w:val="32"/>
        </w:rPr>
        <w:t>Р І Ш Е Н Н Я</w:t>
      </w:r>
    </w:p>
    <w:p>
      <w:pPr>
        <w:pStyle w:val="NoSpacing"/>
        <w:rPr>
          <w:rFonts w:ascii="Times New Roman" w:hAnsi="Times New Roman" w:cs="Times New Roman"/>
          <w:sz w:val="28"/>
          <w:szCs w:val="28"/>
          <w:lang w:val="uk-UA"/>
        </w:rPr>
      </w:pPr>
      <w:r>
        <w:rPr>
          <w:rFonts w:cs="Times New Roman" w:ascii="Times New Roman" w:hAnsi="Times New Roman"/>
          <w:sz w:val="28"/>
          <w:szCs w:val="28"/>
          <w:lang w:val="uk-UA"/>
        </w:rPr>
        <w:t xml:space="preserve"> </w:t>
      </w:r>
    </w:p>
    <w:p>
      <w:pPr>
        <w:pStyle w:val="Normal"/>
        <w:jc w:val="both"/>
        <w:rPr>
          <w:sz w:val="28"/>
        </w:rPr>
      </w:pPr>
      <w:r>
        <w:rPr>
          <w:spacing w:val="22"/>
          <w:sz w:val="20"/>
        </w:rPr>
        <w:t xml:space="preserve">28.04.2023                                  м. Нікополь                                 </w:t>
      </w:r>
      <w:r>
        <w:rPr/>
        <w:t>№ 14-32/</w:t>
      </w:r>
      <w:r>
        <w:rPr>
          <w:lang w:val="en-US"/>
        </w:rPr>
        <w:t>VIII</w:t>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w:r>
    </w:p>
    <w:p>
      <w:pPr>
        <w:pStyle w:val="NoSpacing"/>
        <w:rPr>
          <w:rFonts w:ascii="Times New Roman" w:hAnsi="Times New Roman" w:cs="Times New Roman"/>
          <w:b/>
          <w:b/>
          <w:sz w:val="28"/>
          <w:szCs w:val="28"/>
          <w:lang w:val="uk-UA"/>
        </w:rPr>
      </w:pPr>
      <w:r>
        <w:rPr>
          <w:rFonts w:cs="Times New Roman" w:ascii="Times New Roman" w:hAnsi="Times New Roman"/>
          <w:b/>
          <w:sz w:val="28"/>
          <w:szCs w:val="28"/>
          <w:lang w:val="uk-UA"/>
        </w:rPr>
        <mc:AlternateContent>
          <mc:Choice Requires="wps">
            <w:drawing>
              <wp:anchor behindDoc="0" distT="37465" distB="38100" distL="635" distR="0" simplePos="0" locked="0" layoutInCell="0" allowOverlap="1" relativeHeight="11" wp14:anchorId="0E95CDF8">
                <wp:simplePos x="0" y="0"/>
                <wp:positionH relativeFrom="column">
                  <wp:posOffset>-1567815</wp:posOffset>
                </wp:positionH>
                <wp:positionV relativeFrom="paragraph">
                  <wp:posOffset>343535</wp:posOffset>
                </wp:positionV>
                <wp:extent cx="502285" cy="1905"/>
                <wp:effectExtent l="635" t="37465" r="0" b="38100"/>
                <wp:wrapNone/>
                <wp:docPr id="17" name="Прямая соединительная линия 20"/>
                <a:graphic xmlns:a="http://schemas.openxmlformats.org/drawingml/2006/main">
                  <a:graphicData uri="http://schemas.microsoft.com/office/word/2010/wordprocessingShape">
                    <wps:wsp>
                      <wps:cNvSpPr/>
                      <wps:spPr>
                        <a:xfrm flipH="1">
                          <a:off x="0" y="0"/>
                          <a:ext cx="50220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23.45pt,27.05pt" to="-83.95pt,27.15pt" ID="Прямая соединительная линия 20" stroked="t" o:allowincell="f" style="position:absolute;flip:x" wp14:anchorId="0E95CDF8">
                <v:stroke color="blue" weight="9360" startarrow="block" endarrow="block" startarrowwidth="medium" startarrowlength="medium" endarrowwidth="medium" endarrowlength="medium" joinstyle="round" endcap="flat"/>
                <v:fill o:detectmouseclick="t" on="false"/>
                <w10:wrap type="none"/>
              </v:line>
            </w:pict>
          </mc:Fallback>
        </mc:AlternateContent>
        <mc:AlternateContent>
          <mc:Choice Requires="wps">
            <w:drawing>
              <wp:anchor behindDoc="0" distT="37465" distB="38100" distL="635" distR="0" simplePos="0" locked="0" layoutInCell="0" allowOverlap="1" relativeHeight="12" wp14:anchorId="616F776F">
                <wp:simplePos x="0" y="0"/>
                <wp:positionH relativeFrom="column">
                  <wp:posOffset>-1567815</wp:posOffset>
                </wp:positionH>
                <wp:positionV relativeFrom="paragraph">
                  <wp:posOffset>343535</wp:posOffset>
                </wp:positionV>
                <wp:extent cx="502285" cy="1905"/>
                <wp:effectExtent l="635" t="37465" r="0" b="38100"/>
                <wp:wrapNone/>
                <wp:docPr id="18" name="Прямая соединительная линия 19"/>
                <a:graphic xmlns:a="http://schemas.openxmlformats.org/drawingml/2006/main">
                  <a:graphicData uri="http://schemas.microsoft.com/office/word/2010/wordprocessingShape">
                    <wps:wsp>
                      <wps:cNvSpPr/>
                      <wps:spPr>
                        <a:xfrm flipH="1">
                          <a:off x="0" y="0"/>
                          <a:ext cx="502200" cy="1800"/>
                        </a:xfrm>
                        <a:prstGeom prst="line">
                          <a:avLst/>
                        </a:prstGeom>
                        <a:ln w="9525">
                          <a:solidFill>
                            <a:srgbClr val="0000ff"/>
                          </a:solidFill>
                          <a:round/>
                          <a:headEnd len="med" type="triangle" w="med"/>
                          <a:tailEnd len="med" type="triangle" w="med"/>
                        </a:ln>
                      </wps:spPr>
                      <wps:style>
                        <a:lnRef idx="0"/>
                        <a:fillRef idx="0"/>
                        <a:effectRef idx="0"/>
                        <a:fontRef idx="minor"/>
                      </wps:style>
                      <wps:bodyPr/>
                    </wps:wsp>
                  </a:graphicData>
                </a:graphic>
              </wp:anchor>
            </w:drawing>
          </mc:Choice>
          <mc:Fallback>
            <w:pict>
              <v:line id="shape_0" from="-123.45pt,27.05pt" to="-83.95pt,27.15pt" ID="Прямая соединительная линия 19" stroked="t" o:allowincell="f" style="position:absolute;flip:x" wp14:anchorId="616F776F">
                <v:stroke color="blue" weight="9360" startarrow="block" endarrow="block" startarrowwidth="medium" startarrowlength="medium" endarrowwidth="medium" endarrowlength="medium" joinstyle="round" endcap="flat"/>
                <v:fill o:detectmouseclick="t" on="false"/>
                <w10:wrap type="none"/>
              </v:line>
            </w:pict>
          </mc:Fallback>
        </mc:AlternateContent>
      </w:r>
    </w:p>
    <w:p>
      <w:pPr>
        <w:pStyle w:val="Normal"/>
        <w:suppressAutoHyphens w:val="false"/>
        <w:rPr>
          <w:sz w:val="28"/>
          <w:lang w:val="ru-RU" w:eastAsia="ru-RU"/>
        </w:rPr>
      </w:pPr>
      <w:r>
        <w:rPr>
          <w:sz w:val="28"/>
          <w:lang w:val="ru-RU" w:eastAsia="ru-RU"/>
        </w:rPr>
      </w:r>
    </w:p>
    <w:p>
      <w:pPr>
        <w:pStyle w:val="Normal"/>
        <w:suppressAutoHyphens w:val="false"/>
        <w:jc w:val="center"/>
        <w:rPr>
          <w:sz w:val="28"/>
          <w:szCs w:val="28"/>
          <w:lang w:eastAsia="ru-RU"/>
        </w:rPr>
      </w:pPr>
      <w:r>
        <w:rPr>
          <w:sz w:val="28"/>
          <w:szCs w:val="28"/>
          <w:lang w:eastAsia="ru-RU"/>
        </w:rPr>
        <w:t>Про затвердження Переліку адміністративних</w:t>
      </w:r>
    </w:p>
    <w:p>
      <w:pPr>
        <w:pStyle w:val="Normal"/>
        <w:suppressAutoHyphens w:val="false"/>
        <w:jc w:val="center"/>
        <w:rPr>
          <w:sz w:val="28"/>
          <w:szCs w:val="28"/>
          <w:lang w:eastAsia="ru-RU"/>
        </w:rPr>
      </w:pPr>
      <w:r>
        <w:rPr>
          <w:sz w:val="28"/>
          <w:szCs w:val="28"/>
          <w:lang w:eastAsia="ru-RU"/>
        </w:rPr>
        <w:t>послуг, що можуть надаватися через відділ «Центр надання</w:t>
      </w:r>
    </w:p>
    <w:p>
      <w:pPr>
        <w:pStyle w:val="Normal"/>
        <w:suppressAutoHyphens w:val="false"/>
        <w:jc w:val="center"/>
        <w:rPr>
          <w:sz w:val="28"/>
          <w:szCs w:val="28"/>
          <w:lang w:eastAsia="ru-RU"/>
        </w:rPr>
      </w:pPr>
      <w:r>
        <w:rPr>
          <w:sz w:val="28"/>
          <w:szCs w:val="28"/>
          <w:lang w:eastAsia="ru-RU"/>
        </w:rPr>
        <w:t xml:space="preserve">адміністративних послуг м. Нікополя» </w:t>
      </w:r>
    </w:p>
    <w:p>
      <w:pPr>
        <w:pStyle w:val="Normal"/>
        <w:suppressAutoHyphens w:val="false"/>
        <w:jc w:val="both"/>
        <w:rPr>
          <w:color w:val="FFFFFF"/>
          <w:lang w:eastAsia="ru-RU"/>
        </w:rPr>
      </w:pPr>
      <w:r>
        <w:rPr>
          <w:color w:val="FFFFFF"/>
          <w:lang w:eastAsia="ru-RU"/>
        </w:rPr>
      </w:r>
    </w:p>
    <w:p>
      <w:pPr>
        <w:pStyle w:val="Normal"/>
        <w:suppressAutoHyphens w:val="false"/>
        <w:jc w:val="both"/>
        <w:rPr>
          <w:color w:val="FFFFFF"/>
          <w:lang w:eastAsia="ru-RU"/>
        </w:rPr>
      </w:pPr>
      <w:r>
        <w:rPr>
          <w:color w:val="FFFFFF"/>
          <w:lang w:eastAsia="ru-RU"/>
        </w:rPr>
      </w:r>
    </w:p>
    <w:p>
      <w:pPr>
        <w:pStyle w:val="Normal"/>
        <w:ind w:left="0" w:right="0" w:firstLine="709"/>
        <w:jc w:val="both"/>
        <w:rPr>
          <w:rFonts w:eastAsia="Calibri"/>
          <w:sz w:val="28"/>
          <w:szCs w:val="28"/>
          <w:lang w:eastAsia="en-US"/>
        </w:rPr>
      </w:pPr>
      <w:r>
        <w:rPr>
          <w:rFonts w:eastAsia="Calibri"/>
          <w:sz w:val="28"/>
          <w:szCs w:val="28"/>
          <w:lang w:eastAsia="en-US"/>
        </w:rPr>
        <w:t xml:space="preserve">З метою інформування населення щодо Порядку надання адміністративних послуг, підвищення якості їх надання, створення сприятливих умов для реалізації прав, свобод і законних інтересів фізичних та юридичних осіб на одержання таких послуг, відповідно до Закону України «Про адміністративні послуги», керуючись ст. 59 Закону України «Про місцеве самоврядування в Україні», Нікопольська міська рада                        </w:t>
      </w:r>
    </w:p>
    <w:p>
      <w:pPr>
        <w:pStyle w:val="Normal"/>
        <w:jc w:val="both"/>
        <w:rPr>
          <w:rFonts w:eastAsia="Calibri"/>
          <w:sz w:val="28"/>
          <w:szCs w:val="28"/>
          <w:lang w:eastAsia="en-US"/>
        </w:rPr>
      </w:pPr>
      <w:r>
        <w:rPr>
          <w:rFonts w:eastAsia="Calibri"/>
          <w:sz w:val="28"/>
          <w:szCs w:val="28"/>
          <w:lang w:eastAsia="en-US"/>
        </w:rPr>
        <w:t>ВИРІШИЛА:</w:t>
      </w:r>
    </w:p>
    <w:p>
      <w:pPr>
        <w:pStyle w:val="Normal"/>
        <w:ind w:left="0" w:right="0" w:firstLine="709"/>
        <w:jc w:val="both"/>
        <w:rPr>
          <w:rFonts w:eastAsia="Calibri"/>
          <w:sz w:val="28"/>
          <w:szCs w:val="28"/>
          <w:lang w:eastAsia="en-US"/>
        </w:rPr>
      </w:pPr>
      <w:r>
        <w:rPr>
          <w:rFonts w:eastAsia="Calibri"/>
          <w:sz w:val="28"/>
          <w:szCs w:val="28"/>
          <w:lang w:eastAsia="en-US"/>
        </w:rPr>
        <w:t>1. Затвердити Перелік адміністративних послуг, що можуть надаватися через відділ «Центр надання адміністративних послуг м. Нікополя» (додається).</w:t>
      </w:r>
    </w:p>
    <w:p>
      <w:pPr>
        <w:pStyle w:val="Normal"/>
        <w:ind w:left="0" w:right="0" w:firstLine="709"/>
        <w:jc w:val="both"/>
        <w:rPr/>
      </w:pPr>
      <w:r>
        <w:rPr>
          <w:rFonts w:eastAsia="Calibri"/>
          <w:sz w:val="28"/>
          <w:szCs w:val="28"/>
          <w:lang w:eastAsia="en-US"/>
        </w:rPr>
        <w:t xml:space="preserve">2. Рішення Нікопольської міської ради від 22.12.2022 </w:t>
      </w:r>
      <w:r>
        <w:rPr>
          <w:rFonts w:eastAsia="Calibri"/>
          <w:sz w:val="28"/>
          <w:szCs w:val="28"/>
          <w:lang w:eastAsia="ru-RU"/>
        </w:rPr>
        <w:t>№ 7-28</w:t>
      </w:r>
      <w:r>
        <w:rPr>
          <w:rFonts w:eastAsia="Calibri"/>
          <w:sz w:val="28"/>
          <w:szCs w:val="28"/>
          <w:lang w:eastAsia="en-US"/>
        </w:rPr>
        <w:t>/</w:t>
      </w:r>
      <w:r>
        <w:rPr>
          <w:rFonts w:eastAsia="Calibri"/>
          <w:sz w:val="28"/>
          <w:szCs w:val="28"/>
          <w:lang w:val="en-US" w:eastAsia="en-US"/>
        </w:rPr>
        <w:t>VIII</w:t>
      </w:r>
      <w:r>
        <w:rPr>
          <w:rFonts w:eastAsia="Calibri"/>
          <w:sz w:val="28"/>
          <w:szCs w:val="28"/>
          <w:lang w:eastAsia="ru-RU"/>
        </w:rPr>
        <w:t xml:space="preserve"> </w:t>
      </w:r>
      <w:r>
        <w:rPr>
          <w:rFonts w:eastAsia="Calibri"/>
          <w:sz w:val="28"/>
          <w:szCs w:val="28"/>
          <w:lang w:eastAsia="en-US"/>
        </w:rPr>
        <w:t>«</w:t>
      </w:r>
      <w:r>
        <w:rPr>
          <w:rFonts w:eastAsia="Calibri"/>
          <w:sz w:val="28"/>
          <w:szCs w:val="28"/>
          <w:lang w:eastAsia="ru-RU"/>
        </w:rPr>
        <w:t xml:space="preserve">Про затвердження </w:t>
      </w:r>
      <w:r>
        <w:rPr>
          <w:rFonts w:eastAsia="Calibri"/>
          <w:sz w:val="28"/>
          <w:szCs w:val="28"/>
          <w:lang w:eastAsia="en-US"/>
        </w:rPr>
        <w:t>Переліку адміністративних послуг, що можуть надаватися через відділ «Центр надання адміністративних послуг м. Нікополя» визнати таким, що втратило чинність.</w:t>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t>3. Контроль за виконанням цього рішення покласти на постійну комісію міської ради з питань законності, правопорядку, мобілізаційної роботи, регуляторної політики, регламенту міської ради та етики депутатської діяльності (Журавльов).</w:t>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widowControl w:val="false"/>
        <w:spacing w:before="0" w:after="0"/>
        <w:ind w:left="0" w:right="0" w:firstLine="709"/>
        <w:contextualSpacing/>
        <w:jc w:val="both"/>
        <w:rPr>
          <w:rFonts w:cs="Tahoma"/>
          <w:color w:val="000000"/>
          <w:kern w:val="2"/>
          <w:sz w:val="28"/>
          <w:szCs w:val="28"/>
          <w:lang w:eastAsia="en-US" w:bidi="en-US"/>
        </w:rPr>
      </w:pPr>
      <w:r>
        <w:rPr>
          <w:rFonts w:cs="Tahoma"/>
          <w:color w:val="000000"/>
          <w:kern w:val="2"/>
          <w:sz w:val="28"/>
          <w:szCs w:val="28"/>
          <w:lang w:eastAsia="en-US" w:bidi="en-US"/>
        </w:rPr>
      </w:r>
    </w:p>
    <w:p>
      <w:pPr>
        <w:pStyle w:val="Normal"/>
        <w:suppressAutoHyphens w:val="false"/>
        <w:rPr>
          <w:sz w:val="28"/>
          <w:szCs w:val="28"/>
          <w:lang w:eastAsia="ru-RU"/>
        </w:rPr>
      </w:pPr>
      <w:r>
        <w:rPr>
          <w:sz w:val="28"/>
          <w:szCs w:val="28"/>
          <w:lang w:eastAsia="ru-RU"/>
        </w:rPr>
        <w:t>Міський голова</w:t>
        <w:tab/>
        <w:tab/>
        <w:tab/>
        <w:tab/>
        <w:tab/>
        <w:tab/>
        <w:tab/>
        <w:tab/>
        <w:t>Олександр САЮК</w:t>
      </w:r>
    </w:p>
    <w:p>
      <w:pPr>
        <w:pStyle w:val="Normal"/>
        <w:ind w:left="0" w:right="0" w:firstLine="6237"/>
        <w:rPr>
          <w:b/>
          <w:b/>
          <w:bCs/>
          <w:sz w:val="28"/>
          <w:szCs w:val="28"/>
          <w:lang w:eastAsia="ru-RU"/>
        </w:rPr>
      </w:pPr>
      <w:r>
        <w:rPr>
          <w:b/>
          <w:bCs/>
          <w:sz w:val="28"/>
          <w:szCs w:val="28"/>
          <w:lang w:eastAsia="ru-RU"/>
        </w:rPr>
      </w:r>
    </w:p>
    <w:p>
      <w:pPr>
        <w:pStyle w:val="Normal"/>
        <w:suppressAutoHyphens w:val="false"/>
        <w:ind w:left="0" w:right="0" w:firstLine="6237"/>
        <w:rPr>
          <w:color w:val="212529"/>
          <w:sz w:val="28"/>
          <w:szCs w:val="28"/>
        </w:rPr>
      </w:pPr>
      <w:r>
        <w:rPr>
          <w:color w:val="212529"/>
          <w:sz w:val="28"/>
          <w:szCs w:val="28"/>
        </w:rPr>
      </w:r>
    </w:p>
    <w:p>
      <w:pPr>
        <w:sectPr>
          <w:headerReference w:type="default" r:id="rId3"/>
          <w:type w:val="nextPage"/>
          <w:pgSz w:w="11906" w:h="16838"/>
          <w:pgMar w:left="1701" w:right="566" w:gutter="0" w:header="851" w:top="1410" w:footer="0" w:bottom="709"/>
          <w:pgNumType w:start="8" w:fmt="decimal"/>
          <w:formProt w:val="false"/>
          <w:textDirection w:val="lrTb"/>
          <w:docGrid w:type="default" w:linePitch="360" w:charSpace="0"/>
        </w:sectPr>
        <w:pStyle w:val="Normal"/>
        <w:ind w:firstLine="6237"/>
        <w:rPr>
          <w:b/>
          <w:b/>
          <w:bCs/>
          <w:sz w:val="28"/>
          <w:szCs w:val="28"/>
        </w:rPr>
      </w:pPr>
      <w:r>
        <w:rPr>
          <w:b/>
          <w:bCs/>
          <w:sz w:val="28"/>
          <w:szCs w:val="28"/>
        </w:rPr>
      </w:r>
    </w:p>
    <w:p>
      <w:pPr>
        <w:pStyle w:val="Normal"/>
        <w:jc w:val="both"/>
        <w:rPr>
          <w:sz w:val="28"/>
          <w:szCs w:val="28"/>
        </w:rPr>
      </w:pPr>
      <w:r>
        <w:rPr>
          <w:sz w:val="28"/>
          <w:szCs w:val="28"/>
        </w:rPr>
      </w:r>
      <w:bookmarkStart w:id="0" w:name="_GoBack"/>
      <w:bookmarkStart w:id="1" w:name="_GoBack"/>
      <w:bookmarkEnd w:id="1"/>
    </w:p>
    <w:p>
      <w:pPr>
        <w:pStyle w:val="Normal"/>
        <w:ind w:left="0" w:right="0" w:firstLine="6237"/>
        <w:rPr/>
      </w:pPr>
      <w:r>
        <w:rPr/>
        <w:t>Додаток</w:t>
      </w:r>
    </w:p>
    <w:p>
      <w:pPr>
        <w:pStyle w:val="Normal"/>
        <w:ind w:left="0" w:right="0" w:firstLine="6237"/>
        <w:rPr/>
      </w:pPr>
      <w:r>
        <w:rPr/>
        <w:t>до рішення міської ради</w:t>
      </w:r>
    </w:p>
    <w:p>
      <w:pPr>
        <w:pStyle w:val="Normal"/>
        <w:ind w:left="0" w:right="0" w:firstLine="6237"/>
        <w:rPr/>
      </w:pPr>
      <w:r>
        <w:rPr/>
        <w:t xml:space="preserve">від </w:t>
      </w:r>
      <w:r>
        <w:rPr/>
        <w:t>28.04.2023</w:t>
      </w:r>
      <w:r>
        <w:rPr/>
        <w:t xml:space="preserve"> № </w:t>
      </w:r>
      <w:r>
        <w:rPr>
          <w:spacing w:val="22"/>
          <w:sz w:val="20"/>
        </w:rPr>
        <w:t xml:space="preserve"> </w:t>
      </w:r>
      <w:r>
        <w:rPr/>
        <w:t xml:space="preserve">№ </w:t>
      </w:r>
      <w:r>
        <w:rPr/>
        <w:t>1</w:t>
      </w:r>
      <w:r>
        <w:rPr/>
        <w:t>4</w:t>
      </w:r>
      <w:r>
        <w:rPr/>
        <w:t>-</w:t>
      </w:r>
      <w:r>
        <w:rPr>
          <w:lang w:val="en-US"/>
        </w:rPr>
        <w:t>32/VIII</w:t>
      </w:r>
    </w:p>
    <w:p>
      <w:pPr>
        <w:pStyle w:val="Normal"/>
        <w:jc w:val="center"/>
        <w:rPr/>
      </w:pPr>
      <w:r>
        <w:rPr/>
      </w:r>
    </w:p>
    <w:p>
      <w:pPr>
        <w:pStyle w:val="Normal"/>
        <w:jc w:val="center"/>
        <w:rPr/>
      </w:pPr>
      <w:r>
        <w:rPr/>
        <w:t>ПЕРЕЛІК</w:t>
      </w:r>
    </w:p>
    <w:p>
      <w:pPr>
        <w:pStyle w:val="Normal"/>
        <w:jc w:val="center"/>
        <w:rPr/>
      </w:pPr>
      <w:r>
        <w:rPr/>
        <w:t xml:space="preserve">адміністративних послуг, що можуть надаватися через </w:t>
      </w:r>
    </w:p>
    <w:p>
      <w:pPr>
        <w:pStyle w:val="Normal"/>
        <w:jc w:val="center"/>
        <w:rPr/>
      </w:pPr>
      <w:r>
        <w:rPr/>
        <w:t xml:space="preserve">відділ «Центр надання адміністративних послуг м. Нікополя» </w:t>
      </w:r>
    </w:p>
    <w:p>
      <w:pPr>
        <w:pStyle w:val="Normal"/>
        <w:jc w:val="center"/>
        <w:rPr/>
      </w:pPr>
      <w:r>
        <w:rPr/>
      </w:r>
    </w:p>
    <w:tbl>
      <w:tblPr>
        <w:tblW w:w="9142" w:type="dxa"/>
        <w:jc w:val="left"/>
        <w:tblInd w:w="198" w:type="dxa"/>
        <w:tblLayout w:type="fixed"/>
        <w:tblCellMar>
          <w:top w:w="0" w:type="dxa"/>
          <w:left w:w="108" w:type="dxa"/>
          <w:bottom w:w="0" w:type="dxa"/>
          <w:right w:w="108" w:type="dxa"/>
        </w:tblCellMar>
      </w:tblPr>
      <w:tblGrid>
        <w:gridCol w:w="625"/>
        <w:gridCol w:w="8516"/>
      </w:tblGrid>
      <w:tr>
        <w:trPr>
          <w:trHeight w:val="585" w:hRule="atLeast"/>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8"/>
                <w:szCs w:val="28"/>
                <w:lang w:eastAsia="uk-UA"/>
              </w:rPr>
            </w:pPr>
            <w:r>
              <w:rPr>
                <w:b/>
                <w:sz w:val="28"/>
                <w:szCs w:val="28"/>
                <w:lang w:eastAsia="uk-UA"/>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lang w:eastAsia="uk-UA"/>
              </w:rPr>
            </w:pPr>
            <w:r>
              <w:rPr>
                <w:b/>
                <w:sz w:val="28"/>
                <w:szCs w:val="28"/>
                <w:lang w:eastAsia="uk-UA"/>
              </w:rPr>
              <w:t>Управління містобудування та архітектури Нікопольської міської ради</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Дозвіл на розміщення зовнішньої реклами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Переоформлення дозволу на розміщення зовнішньої реклами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Продовження строку дії дозволу на розміщення зовнішньої реклами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4</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Анулювання дозволу на розміщення зовнішньої реклами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5</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Зміна адреси об’єктам нерухомого майна у разі об’єднання, поділу об’єкта нерухомого майна або виділення частки з об’єкта нерухомого майна (крім квартири, житлового приміщення або нежитлового приміщення тощо)</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6</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Надання (внесення змін, скасування) містобудівних умов і обмежень для проектування об'єктів будівництва/ листа про об'єкти для проектування яких не потрібно отримувати містобудівні умови та обмеження</w:t>
            </w:r>
          </w:p>
        </w:tc>
      </w:tr>
      <w:tr>
        <w:trPr>
          <w:trHeight w:val="387"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7</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Видача (внесення змін до) будівельного паспорта на забудову земельної ділянки</w:t>
            </w:r>
          </w:p>
        </w:tc>
      </w:tr>
      <w:tr>
        <w:trPr>
          <w:trHeight w:val="21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8</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Відповідність намірів щодо встановлення тимчасової споруди (ТС) для провадження підприємницької діяльності</w:t>
            </w:r>
          </w:p>
        </w:tc>
      </w:tr>
      <w:tr>
        <w:trPr>
          <w:trHeight w:val="21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9</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Паспорт (продовження строку дії паспорта) прив’язки тимчасової споруди (ТС) для провадження підприємницької діяльності</w:t>
            </w:r>
          </w:p>
        </w:tc>
      </w:tr>
      <w:tr>
        <w:trPr>
          <w:trHeight w:val="21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10</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Переведення житлового приміщення (житлових будинків) у нежитлові під розміщення об’єктів невиробничої сфери</w:t>
            </w:r>
          </w:p>
        </w:tc>
      </w:tr>
      <w:tr>
        <w:trPr>
          <w:trHeight w:val="21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11</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Переведення нежитлових приміщень у житлові</w:t>
            </w:r>
          </w:p>
        </w:tc>
      </w:tr>
      <w:tr>
        <w:trPr>
          <w:trHeight w:val="21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Переведення дачних і садових будинків, що відповідають державним будівельним нормам, у жилі будинки</w:t>
            </w:r>
          </w:p>
        </w:tc>
      </w:tr>
      <w:tr>
        <w:trPr>
          <w:trHeight w:val="21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13</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Довідка з містобудівного кадастру</w:t>
            </w:r>
          </w:p>
        </w:tc>
      </w:tr>
      <w:tr>
        <w:trPr>
          <w:trHeight w:val="211"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14</w:t>
            </w:r>
          </w:p>
        </w:tc>
        <w:tc>
          <w:tcPr>
            <w:tcW w:w="8516" w:type="dxa"/>
            <w:tcBorders>
              <w:bottom w:val="single" w:sz="4" w:space="0" w:color="000000"/>
              <w:right w:val="single" w:sz="4" w:space="0" w:color="000000"/>
            </w:tcBorders>
          </w:tcPr>
          <w:p>
            <w:pPr>
              <w:pStyle w:val="Normal"/>
              <w:widowControl w:val="false"/>
              <w:rPr>
                <w:sz w:val="22"/>
                <w:szCs w:val="22"/>
              </w:rPr>
            </w:pPr>
            <w:r>
              <w:rPr>
                <w:sz w:val="22"/>
                <w:szCs w:val="22"/>
              </w:rPr>
              <w:t>Внесення інформації про присвоєні адреси до ЄДЕССБ (до запровадження електронної системи)</w:t>
            </w:r>
          </w:p>
        </w:tc>
      </w:tr>
      <w:tr>
        <w:trPr>
          <w:trHeight w:val="211"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15</w:t>
            </w:r>
          </w:p>
        </w:tc>
        <w:tc>
          <w:tcPr>
            <w:tcW w:w="8516" w:type="dxa"/>
            <w:tcBorders>
              <w:bottom w:val="single" w:sz="4" w:space="0" w:color="000000"/>
              <w:right w:val="single" w:sz="4" w:space="0" w:color="000000"/>
            </w:tcBorders>
          </w:tcPr>
          <w:p>
            <w:pPr>
              <w:pStyle w:val="Normal"/>
              <w:widowControl w:val="false"/>
              <w:rPr>
                <w:sz w:val="22"/>
                <w:szCs w:val="22"/>
              </w:rPr>
            </w:pPr>
            <w:r>
              <w:rPr>
                <w:sz w:val="22"/>
                <w:szCs w:val="22"/>
              </w:rPr>
              <w:t>Присвоєння адреси об'єктам будівництва (після отримання права на виконання будівельних робіт), об'єктам нерухомого майна (після прийняття в експлуатацію), самочинно збудованим об'єктам нерухомого майна, право власності на які визнано за рішенням суду</w:t>
            </w:r>
          </w:p>
        </w:tc>
      </w:tr>
      <w:tr>
        <w:trPr>
          <w:trHeight w:val="211"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16</w:t>
            </w:r>
          </w:p>
        </w:tc>
        <w:tc>
          <w:tcPr>
            <w:tcW w:w="8516" w:type="dxa"/>
            <w:tcBorders>
              <w:bottom w:val="single" w:sz="4" w:space="0" w:color="000000"/>
              <w:right w:val="single" w:sz="4" w:space="0" w:color="000000"/>
            </w:tcBorders>
          </w:tcPr>
          <w:p>
            <w:pPr>
              <w:pStyle w:val="Normal"/>
              <w:widowControl w:val="false"/>
              <w:rPr>
                <w:sz w:val="22"/>
                <w:szCs w:val="22"/>
              </w:rPr>
            </w:pPr>
            <w:r>
              <w:rPr>
                <w:sz w:val="22"/>
                <w:szCs w:val="22"/>
              </w:rPr>
              <w:t>Упорядкування нумерації об'єктів нерухомого майна</w:t>
            </w:r>
          </w:p>
        </w:tc>
      </w:tr>
      <w:tr>
        <w:trPr>
          <w:trHeight w:val="364" w:hRule="atLeast"/>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rPr>
            </w:pPr>
            <w:r>
              <w:rPr>
                <w:b/>
                <w:sz w:val="28"/>
                <w:szCs w:val="28"/>
              </w:rPr>
              <w:t>Управління комунального майна Нікопольської міської ради</w:t>
            </w:r>
          </w:p>
          <w:p>
            <w:pPr>
              <w:pStyle w:val="Normal"/>
              <w:widowControl w:val="false"/>
              <w:jc w:val="center"/>
              <w:rPr>
                <w:sz w:val="22"/>
                <w:szCs w:val="22"/>
                <w:lang w:eastAsia="uk-UA"/>
              </w:rPr>
            </w:pPr>
            <w:r>
              <w:rPr>
                <w:sz w:val="22"/>
                <w:szCs w:val="22"/>
                <w:lang w:eastAsia="uk-UA"/>
              </w:rPr>
              <w:t>(найменування послуги)</w:t>
            </w:r>
          </w:p>
        </w:tc>
      </w:tr>
      <w:tr>
        <w:trPr>
          <w:trHeight w:val="438"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17</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надання дозволу на розробку проекту землеустрою щодо відведення земельної ділянки (в т.ч. учасникам антитерористичної операції)</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надання дозволу на розробку технічної документації із землеустрою щодо встановлення (відновлення) меж земельної ділянки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19</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надання дозволу на розробку технічної документації із землеустрою щодо поділу та об’єднання земельних ділянок</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20</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затвердження технічної документації щодо поділу та об’єднання земельних ділянок</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21</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надання дозволу на передачу земельних ділянок в суборенду</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припинення права користування земельною ділянкою</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23</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поновлення договору оренди землі на новий строк</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24</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 xml:space="preserve">Рішення про передачу у власність, надання у постійне користування та оренду земельних ділянок, що перебувають у державній або комунальній власності </w:t>
            </w:r>
          </w:p>
        </w:tc>
      </w:tr>
      <w:tr>
        <w:trPr>
          <w:trHeight w:val="241"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25</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продаж земельних ділянок державної та комунальної власності</w:t>
            </w:r>
          </w:p>
        </w:tc>
      </w:tr>
      <w:tr>
        <w:trPr>
          <w:trHeight w:val="387"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26</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затвердження проекту землеустрою щодо відведення земельної ділянки цільове призначення якої змінюється</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27</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затвердження технічної документації із землеустрою щодо встановлення (відновлення) меж земельної ділянки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28</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внесення змін до рішення міської ради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29</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Рішення про продовження терміну дії рішення міської ради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30</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Взяття на облік громадян, які потребують поліпшення житлових умов</w:t>
            </w:r>
          </w:p>
        </w:tc>
      </w:tr>
      <w:tr>
        <w:trPr>
          <w:trHeight w:val="726" w:hRule="atLeast"/>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lang w:eastAsia="uk-UA"/>
              </w:rPr>
            </w:pPr>
            <w:r>
              <w:rPr>
                <w:b/>
                <w:sz w:val="21"/>
                <w:szCs w:val="21"/>
                <w:lang w:eastAsia="uk-UA"/>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lang w:eastAsia="uk-UA"/>
              </w:rPr>
            </w:pPr>
            <w:r>
              <w:rPr>
                <w:b/>
                <w:sz w:val="28"/>
                <w:szCs w:val="28"/>
                <w:lang w:eastAsia="uk-UA"/>
              </w:rPr>
              <w:t>Відділ реєстрації речових прав на нерухоме майно та реєстрації юридичних осіб та фізичних осіб – підприємців</w:t>
            </w:r>
          </w:p>
          <w:p>
            <w:pPr>
              <w:pStyle w:val="Normal"/>
              <w:widowControl w:val="false"/>
              <w:jc w:val="center"/>
              <w:rPr>
                <w:b/>
                <w:b/>
                <w:sz w:val="28"/>
                <w:szCs w:val="28"/>
                <w:lang w:eastAsia="uk-UA"/>
              </w:rPr>
            </w:pPr>
            <w:r>
              <w:rPr>
                <w:b/>
                <w:sz w:val="28"/>
                <w:szCs w:val="28"/>
                <w:lang w:eastAsia="uk-UA"/>
              </w:rPr>
              <w:t>Нікопольської міської ради</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31</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юридичної особи або фізичної особи, яка має намір стати підприємцем</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Видача витягу, виписки, довідки з Єдиного державного реєстру юридичних осіб та фізичних осіб - підприємців</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33</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змін до установчих документів юридичної особи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34</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Включення до Єдиного державного реєстру юридичних осіб та фізичних осіб - підприємців відомостей про створення відокремленого підрозділу юридичної особи або про його закриття</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35</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змін до відомостей про фізичну особу - підприємця, які містяться в Єдиному державному реєстрі юридичних осіб та фізичних осіб - підприємців</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36</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Видача юридичним особам дублікатів оригіналів їх установчих документів та змін до них</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37</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припинення юридичної особи в результаті її ліквідації, злиття, приєднання, поділу або перетворення</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38</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припинення підприємницької діяльності фізичною особою - підприємцем за її рішенням</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39</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права власності на нерухоме майно інших речових прав на нерухоме майно (крім державної реєстрації іпотеки нерухомого майна)</w:t>
            </w:r>
          </w:p>
        </w:tc>
      </w:tr>
      <w:tr>
        <w:trPr/>
        <w:tc>
          <w:tcPr>
            <w:tcW w:w="625" w:type="dxa"/>
            <w:tcBorders>
              <w:top w:val="single" w:sz="4" w:space="0" w:color="000000"/>
              <w:left w:val="single" w:sz="4" w:space="0" w:color="000000"/>
              <w:bottom w:val="single" w:sz="4" w:space="0" w:color="000000"/>
            </w:tcBorders>
          </w:tcPr>
          <w:p>
            <w:pPr>
              <w:pStyle w:val="Normal"/>
              <w:widowControl w:val="false"/>
              <w:rPr>
                <w:color w:val="000000"/>
                <w:sz w:val="21"/>
                <w:szCs w:val="21"/>
              </w:rPr>
            </w:pPr>
            <w:r>
              <w:rPr>
                <w:color w:val="000000"/>
                <w:sz w:val="21"/>
                <w:szCs w:val="21"/>
              </w:rPr>
              <w:t>40</w:t>
            </w:r>
          </w:p>
        </w:tc>
        <w:tc>
          <w:tcPr>
            <w:tcW w:w="8516" w:type="dxa"/>
            <w:tcBorders>
              <w:top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Державна реєстрація інших речових прав на нерухоме майно (крім державної реєстрації іпотеки нерухомого майна)</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41</w:t>
            </w:r>
          </w:p>
        </w:tc>
        <w:tc>
          <w:tcPr>
            <w:tcW w:w="8516" w:type="dxa"/>
            <w:tcBorders>
              <w:top w:val="single" w:sz="4" w:space="0" w:color="000000"/>
              <w:bottom w:val="single" w:sz="4" w:space="0" w:color="000000"/>
              <w:right w:val="single" w:sz="4" w:space="0" w:color="000000"/>
            </w:tcBorders>
          </w:tcPr>
          <w:p>
            <w:pPr>
              <w:pStyle w:val="Normal"/>
              <w:widowControl w:val="false"/>
              <w:rPr/>
            </w:pPr>
            <w:r>
              <w:rPr>
                <w:color w:val="000000"/>
                <w:sz w:val="22"/>
                <w:szCs w:val="22"/>
                <w:lang w:val="ru-RU"/>
              </w:rPr>
              <w:t xml:space="preserve">Внесення змін до записів до </w:t>
            </w:r>
            <w:r>
              <w:rPr>
                <w:color w:val="000000"/>
                <w:sz w:val="22"/>
                <w:szCs w:val="22"/>
              </w:rPr>
              <w:t>Державного реєстру речових прав на нерухоме майно у зв’язку із зміною відомостей про нерухоме майно, право власності та суб’єкта цього права, інші речові права та суб’єкта цих прав, обтяження права не нерухоме майно та  суб’єкта цих прав, що містяться у Державному реєстрі речових прав на нерухоме майно, які не пов’язані з проведенням державної реєстрації прав.</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42</w:t>
            </w:r>
          </w:p>
        </w:tc>
        <w:tc>
          <w:tcPr>
            <w:tcW w:w="8516" w:type="dxa"/>
            <w:tcBorders>
              <w:top w:val="single" w:sz="4" w:space="0" w:color="000000"/>
              <w:bottom w:val="single" w:sz="4" w:space="0" w:color="000000"/>
              <w:right w:val="single" w:sz="4" w:space="0" w:color="000000"/>
            </w:tcBorders>
          </w:tcPr>
          <w:p>
            <w:pPr>
              <w:pStyle w:val="Normal"/>
              <w:widowControl w:val="false"/>
              <w:rPr/>
            </w:pPr>
            <w:r>
              <w:rPr>
                <w:color w:val="000000"/>
                <w:sz w:val="22"/>
                <w:szCs w:val="22"/>
                <w:lang w:val="ru-RU"/>
              </w:rPr>
              <w:t xml:space="preserve">Внесення змін до записів </w:t>
            </w:r>
            <w:r>
              <w:rPr>
                <w:color w:val="000000"/>
                <w:sz w:val="22"/>
                <w:szCs w:val="22"/>
              </w:rPr>
              <w:t>з Державного реєстру речових прав на нерухоме майно у зв’язку з допущенням технічної помилки не з вини державного реєстратора прав на нерухоме майно</w:t>
            </w:r>
          </w:p>
        </w:tc>
      </w:tr>
      <w:tr>
        <w:trPr/>
        <w:tc>
          <w:tcPr>
            <w:tcW w:w="625" w:type="dxa"/>
            <w:tcBorders>
              <w:top w:val="single" w:sz="4" w:space="0" w:color="000000"/>
              <w:left w:val="single" w:sz="4" w:space="0" w:color="000000"/>
              <w:bottom w:val="single" w:sz="4" w:space="0" w:color="000000"/>
            </w:tcBorders>
          </w:tcPr>
          <w:p>
            <w:pPr>
              <w:pStyle w:val="Normal"/>
              <w:widowControl w:val="false"/>
              <w:rPr>
                <w:color w:val="000000"/>
                <w:sz w:val="21"/>
                <w:szCs w:val="21"/>
              </w:rPr>
            </w:pPr>
            <w:r>
              <w:rPr>
                <w:color w:val="000000"/>
                <w:sz w:val="21"/>
                <w:szCs w:val="21"/>
              </w:rPr>
              <w:t>43</w:t>
            </w:r>
          </w:p>
        </w:tc>
        <w:tc>
          <w:tcPr>
            <w:tcW w:w="8516" w:type="dxa"/>
            <w:tcBorders>
              <w:top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Внесення запису про скасування державної реєстрації прав</w:t>
            </w:r>
          </w:p>
        </w:tc>
      </w:tr>
      <w:tr>
        <w:trPr/>
        <w:tc>
          <w:tcPr>
            <w:tcW w:w="625" w:type="dxa"/>
            <w:tcBorders>
              <w:top w:val="single" w:sz="4" w:space="0" w:color="000000"/>
              <w:left w:val="single" w:sz="4" w:space="0" w:color="000000"/>
              <w:bottom w:val="single" w:sz="4" w:space="0" w:color="000000"/>
            </w:tcBorders>
          </w:tcPr>
          <w:p>
            <w:pPr>
              <w:pStyle w:val="Normal"/>
              <w:widowControl w:val="false"/>
              <w:rPr>
                <w:color w:val="000000"/>
                <w:sz w:val="21"/>
                <w:szCs w:val="21"/>
              </w:rPr>
            </w:pPr>
            <w:r>
              <w:rPr>
                <w:color w:val="000000"/>
                <w:sz w:val="21"/>
                <w:szCs w:val="21"/>
              </w:rPr>
              <w:t>44</w:t>
            </w:r>
          </w:p>
        </w:tc>
        <w:tc>
          <w:tcPr>
            <w:tcW w:w="8516" w:type="dxa"/>
            <w:tcBorders>
              <w:top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Взяття на облік безхазяйного нерухомого майна</w:t>
            </w:r>
          </w:p>
        </w:tc>
      </w:tr>
      <w:tr>
        <w:trPr/>
        <w:tc>
          <w:tcPr>
            <w:tcW w:w="625" w:type="dxa"/>
            <w:tcBorders>
              <w:top w:val="single" w:sz="4" w:space="0" w:color="000000"/>
              <w:left w:val="single" w:sz="4" w:space="0" w:color="000000"/>
              <w:bottom w:val="single" w:sz="4" w:space="0" w:color="000000"/>
            </w:tcBorders>
          </w:tcPr>
          <w:p>
            <w:pPr>
              <w:pStyle w:val="Normal"/>
              <w:widowControl w:val="false"/>
              <w:rPr>
                <w:color w:val="000000"/>
                <w:sz w:val="21"/>
                <w:szCs w:val="21"/>
              </w:rPr>
            </w:pPr>
            <w:r>
              <w:rPr>
                <w:color w:val="000000"/>
                <w:sz w:val="21"/>
                <w:szCs w:val="21"/>
              </w:rPr>
              <w:t>45</w:t>
            </w:r>
          </w:p>
        </w:tc>
        <w:tc>
          <w:tcPr>
            <w:tcW w:w="8516" w:type="dxa"/>
            <w:tcBorders>
              <w:top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Державна реєстрація обтяження права на нерухоме майно</w:t>
            </w:r>
          </w:p>
        </w:tc>
      </w:tr>
      <w:tr>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rPr>
            </w:pPr>
            <w:r>
              <w:rPr>
                <w:b/>
                <w:sz w:val="28"/>
                <w:szCs w:val="28"/>
              </w:rPr>
              <w:t>Відділ реєстрації та обліку громадян Нікопольської міської ради</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46</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Реєстрація місця проживання особи (у тому числі, як складова комплексної послуги «єМалятко»)</w:t>
            </w:r>
          </w:p>
        </w:tc>
      </w:tr>
      <w:tr>
        <w:trPr/>
        <w:tc>
          <w:tcPr>
            <w:tcW w:w="625" w:type="dxa"/>
            <w:tcBorders>
              <w:top w:val="single" w:sz="4" w:space="0" w:color="000000"/>
              <w:left w:val="single" w:sz="4" w:space="0" w:color="000000"/>
              <w:bottom w:val="single" w:sz="4" w:space="0" w:color="000000"/>
            </w:tcBorders>
          </w:tcPr>
          <w:p>
            <w:pPr>
              <w:pStyle w:val="Normal"/>
              <w:widowControl w:val="false"/>
              <w:ind w:left="0" w:right="0" w:hanging="0"/>
              <w:jc w:val="left"/>
              <w:rPr>
                <w:sz w:val="21"/>
                <w:szCs w:val="21"/>
              </w:rPr>
            </w:pPr>
            <w:r>
              <w:rPr>
                <w:sz w:val="21"/>
                <w:szCs w:val="21"/>
              </w:rPr>
              <w:t>47</w:t>
            </w:r>
          </w:p>
        </w:tc>
        <w:tc>
          <w:tcPr>
            <w:tcW w:w="8516" w:type="dxa"/>
            <w:tcBorders>
              <w:top w:val="single" w:sz="4" w:space="0" w:color="000000"/>
              <w:bottom w:val="single" w:sz="4" w:space="0" w:color="000000"/>
              <w:right w:val="single" w:sz="4" w:space="0" w:color="000000"/>
            </w:tcBorders>
          </w:tcPr>
          <w:p>
            <w:pPr>
              <w:pStyle w:val="Normal"/>
              <w:widowControl w:val="false"/>
              <w:ind w:left="0" w:right="0" w:hanging="0"/>
              <w:jc w:val="left"/>
              <w:rPr/>
            </w:pPr>
            <w:r>
              <w:rPr>
                <w:rFonts w:cs="Times New Roman"/>
                <w:b w:val="false"/>
                <w:i w:val="false"/>
                <w:caps w:val="false"/>
                <w:smallCaps w:val="false"/>
                <w:color w:val="333333"/>
                <w:spacing w:val="0"/>
                <w:sz w:val="22"/>
                <w:szCs w:val="22"/>
              </w:rPr>
              <w:t>Реєстрація місця перебування</w:t>
            </w:r>
            <w:r>
              <w:rPr>
                <w:sz w:val="22"/>
                <w:szCs w:val="22"/>
              </w:rPr>
              <w:t xml:space="preserve"> </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48</w:t>
            </w:r>
          </w:p>
        </w:tc>
        <w:tc>
          <w:tcPr>
            <w:tcW w:w="8516" w:type="dxa"/>
            <w:tcBorders>
              <w:top w:val="single" w:sz="4" w:space="0" w:color="000000"/>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Зняття із задекларованого/зареєстрованого місця проживання</w:t>
            </w:r>
            <w:r>
              <w:rPr>
                <w:sz w:val="22"/>
                <w:szCs w:val="22"/>
              </w:rPr>
              <w:t xml:space="preserve"> </w:t>
            </w:r>
          </w:p>
        </w:tc>
      </w:tr>
      <w:tr>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49</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Реєстрація місця проживання</w:t>
            </w:r>
            <w:r>
              <w:rPr>
                <w:sz w:val="22"/>
                <w:szCs w:val="22"/>
              </w:rPr>
              <w:t xml:space="preserve"> </w:t>
            </w:r>
          </w:p>
        </w:tc>
      </w:tr>
      <w:tr>
        <w:trPr/>
        <w:tc>
          <w:tcPr>
            <w:tcW w:w="625" w:type="dxa"/>
            <w:tcBorders>
              <w:top w:val="single" w:sz="4" w:space="0" w:color="000000"/>
              <w:left w:val="single" w:sz="4" w:space="0" w:color="000000"/>
              <w:bottom w:val="single" w:sz="4" w:space="0" w:color="000000"/>
            </w:tcBorders>
          </w:tcPr>
          <w:p>
            <w:pPr>
              <w:pStyle w:val="Style20"/>
              <w:widowControl w:val="false"/>
              <w:spacing w:before="0" w:after="120"/>
              <w:rPr>
                <w:sz w:val="21"/>
                <w:szCs w:val="21"/>
              </w:rPr>
            </w:pPr>
            <w:r>
              <w:rPr>
                <w:sz w:val="21"/>
                <w:szCs w:val="21"/>
              </w:rPr>
              <w:t>50</w:t>
            </w:r>
          </w:p>
        </w:tc>
        <w:tc>
          <w:tcPr>
            <w:tcW w:w="8516" w:type="dxa"/>
            <w:tcBorders>
              <w:top w:val="single" w:sz="4" w:space="0" w:color="000000"/>
              <w:bottom w:val="single" w:sz="4" w:space="0" w:color="000000"/>
              <w:right w:val="single" w:sz="4" w:space="0" w:color="000000"/>
            </w:tcBorders>
          </w:tcPr>
          <w:p>
            <w:pPr>
              <w:pStyle w:val="Style20"/>
              <w:widowControl w:val="false"/>
              <w:spacing w:before="0" w:after="120"/>
              <w:rPr>
                <w:sz w:val="22"/>
                <w:szCs w:val="22"/>
              </w:rPr>
            </w:pPr>
            <w:r>
              <w:rPr>
                <w:sz w:val="22"/>
                <w:szCs w:val="22"/>
              </w:rPr>
              <w:t>Реєстрація місця проживання дитини до 14 років</w:t>
            </w:r>
          </w:p>
        </w:tc>
      </w:tr>
      <w:tr>
        <w:trPr/>
        <w:tc>
          <w:tcPr>
            <w:tcW w:w="625" w:type="dxa"/>
            <w:tcBorders>
              <w:left w:val="single" w:sz="4" w:space="0" w:color="000000"/>
              <w:bottom w:val="single" w:sz="4" w:space="0" w:color="000000"/>
            </w:tcBorders>
          </w:tcPr>
          <w:p>
            <w:pPr>
              <w:pStyle w:val="Style20"/>
              <w:widowControl w:val="false"/>
              <w:spacing w:before="0" w:after="120"/>
              <w:rPr>
                <w:sz w:val="21"/>
                <w:szCs w:val="21"/>
              </w:rPr>
            </w:pPr>
            <w:r>
              <w:rPr>
                <w:sz w:val="21"/>
                <w:szCs w:val="21"/>
              </w:rPr>
              <w:t>51</w:t>
            </w:r>
          </w:p>
        </w:tc>
        <w:tc>
          <w:tcPr>
            <w:tcW w:w="8516" w:type="dxa"/>
            <w:tcBorders>
              <w:bottom w:val="single" w:sz="4" w:space="0" w:color="000000"/>
              <w:right w:val="single" w:sz="4" w:space="0" w:color="000000"/>
            </w:tcBorders>
          </w:tcPr>
          <w:p>
            <w:pPr>
              <w:pStyle w:val="Style20"/>
              <w:widowControl w:val="false"/>
              <w:spacing w:before="0" w:after="120"/>
              <w:rPr/>
            </w:pPr>
            <w:r>
              <w:rPr>
                <w:rFonts w:cs="Times New Roman"/>
                <w:b w:val="false"/>
                <w:i w:val="false"/>
                <w:caps w:val="false"/>
                <w:smallCaps w:val="false"/>
                <w:color w:val="333333"/>
                <w:spacing w:val="0"/>
                <w:sz w:val="22"/>
                <w:szCs w:val="22"/>
              </w:rPr>
              <w:t>Видача витягу з реєстру територіальної громади</w:t>
            </w:r>
            <w:r>
              <w:rPr>
                <w:sz w:val="22"/>
                <w:szCs w:val="22"/>
              </w:rPr>
              <w:t xml:space="preserve"> </w:t>
            </w:r>
          </w:p>
        </w:tc>
      </w:tr>
      <w:tr>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52</w:t>
            </w:r>
          </w:p>
        </w:tc>
        <w:tc>
          <w:tcPr>
            <w:tcW w:w="8516" w:type="dxa"/>
            <w:tcBorders>
              <w:bottom w:val="single" w:sz="4" w:space="0" w:color="000000"/>
              <w:right w:val="single" w:sz="4" w:space="0" w:color="000000"/>
            </w:tcBorders>
          </w:tcPr>
          <w:p>
            <w:pPr>
              <w:pStyle w:val="Normal"/>
              <w:widowControl w:val="false"/>
              <w:rPr>
                <w:sz w:val="22"/>
                <w:szCs w:val="22"/>
              </w:rPr>
            </w:pPr>
            <w:r>
              <w:rPr>
                <w:sz w:val="22"/>
                <w:szCs w:val="22"/>
              </w:rPr>
              <w:t>Оформлення та видача довідки про реєстрацію місця проживання або місця перебування особи</w:t>
            </w:r>
          </w:p>
        </w:tc>
      </w:tr>
      <w:tr>
        <w:trPr/>
        <w:tc>
          <w:tcPr>
            <w:tcW w:w="625" w:type="dxa"/>
            <w:tcBorders>
              <w:top w:val="single" w:sz="4" w:space="0" w:color="000000"/>
              <w:left w:val="single" w:sz="4" w:space="0" w:color="000000"/>
              <w:bottom w:val="single" w:sz="4" w:space="0" w:color="000000"/>
            </w:tcBorders>
          </w:tcPr>
          <w:p>
            <w:pPr>
              <w:pStyle w:val="Style29"/>
              <w:widowControl w:val="false"/>
              <w:snapToGrid w:val="false"/>
              <w:spacing w:before="0" w:after="0"/>
              <w:contextualSpacing/>
              <w:jc w:val="center"/>
              <w:rPr>
                <w:b/>
                <w:b/>
                <w:color w:val="000000"/>
                <w:sz w:val="21"/>
                <w:szCs w:val="21"/>
              </w:rPr>
            </w:pPr>
            <w:r>
              <w:rPr>
                <w:b/>
                <w:color w:val="000000"/>
                <w:sz w:val="21"/>
                <w:szCs w:val="21"/>
              </w:rPr>
            </w:r>
          </w:p>
        </w:tc>
        <w:tc>
          <w:tcPr>
            <w:tcW w:w="8516" w:type="dxa"/>
            <w:tcBorders>
              <w:top w:val="single" w:sz="4" w:space="0" w:color="000000"/>
              <w:bottom w:val="single" w:sz="4" w:space="0" w:color="000000"/>
              <w:right w:val="single" w:sz="4" w:space="0" w:color="000000"/>
            </w:tcBorders>
          </w:tcPr>
          <w:p>
            <w:pPr>
              <w:pStyle w:val="Style29"/>
              <w:widowControl w:val="false"/>
              <w:spacing w:before="0" w:after="0"/>
              <w:contextualSpacing/>
              <w:jc w:val="center"/>
              <w:rPr>
                <w:b/>
                <w:b/>
                <w:color w:val="000000"/>
                <w:sz w:val="28"/>
                <w:szCs w:val="28"/>
              </w:rPr>
            </w:pPr>
            <w:r>
              <w:rPr>
                <w:b/>
                <w:color w:val="000000"/>
                <w:sz w:val="28"/>
                <w:szCs w:val="28"/>
              </w:rPr>
              <w:t>Пенсійний фонд України</w:t>
            </w:r>
          </w:p>
        </w:tc>
      </w:tr>
      <w:tr>
        <w:trPr/>
        <w:tc>
          <w:tcPr>
            <w:tcW w:w="625" w:type="dxa"/>
            <w:tcBorders>
              <w:left w:val="single" w:sz="4" w:space="0" w:color="000000"/>
              <w:bottom w:val="single" w:sz="4" w:space="0" w:color="000000"/>
            </w:tcBorders>
          </w:tcPr>
          <w:p>
            <w:pPr>
              <w:pStyle w:val="Style29"/>
              <w:widowControl w:val="false"/>
              <w:tabs>
                <w:tab w:val="clear" w:pos="708"/>
                <w:tab w:val="left" w:pos="173" w:leader="none"/>
              </w:tabs>
              <w:snapToGrid w:val="false"/>
              <w:spacing w:before="0" w:after="0"/>
              <w:ind w:left="0" w:right="0" w:hanging="0"/>
              <w:contextualSpacing/>
              <w:jc w:val="both"/>
              <w:rPr>
                <w:b w:val="false"/>
                <w:b w:val="false"/>
                <w:bCs w:val="false"/>
                <w:color w:val="000000"/>
                <w:sz w:val="21"/>
                <w:szCs w:val="21"/>
                <w:lang w:eastAsia="uk-UA"/>
              </w:rPr>
            </w:pPr>
            <w:r>
              <w:rPr>
                <w:b w:val="false"/>
                <w:bCs w:val="false"/>
                <w:color w:val="000000"/>
                <w:sz w:val="21"/>
                <w:szCs w:val="21"/>
                <w:lang w:eastAsia="uk-UA"/>
              </w:rPr>
              <w:t>53</w:t>
            </w:r>
          </w:p>
        </w:tc>
        <w:tc>
          <w:tcPr>
            <w:tcW w:w="8516" w:type="dxa"/>
            <w:tcBorders>
              <w:bottom w:val="single" w:sz="4" w:space="0" w:color="000000"/>
              <w:right w:val="single" w:sz="4" w:space="0" w:color="000000"/>
            </w:tcBorders>
          </w:tcPr>
          <w:p>
            <w:pPr>
              <w:pStyle w:val="Style29"/>
              <w:widowControl w:val="false"/>
              <w:tabs>
                <w:tab w:val="clear" w:pos="708"/>
                <w:tab w:val="left" w:pos="173" w:leader="none"/>
              </w:tabs>
              <w:spacing w:before="0" w:after="0"/>
              <w:ind w:left="0" w:right="0" w:hanging="0"/>
              <w:contextualSpacing/>
              <w:jc w:val="both"/>
              <w:rPr>
                <w:b w:val="false"/>
                <w:b w:val="false"/>
                <w:bCs w:val="false"/>
                <w:sz w:val="22"/>
                <w:szCs w:val="22"/>
                <w:lang w:eastAsia="uk-UA"/>
              </w:rPr>
            </w:pPr>
            <w:r>
              <w:rPr>
                <w:b w:val="false"/>
                <w:bCs w:val="false"/>
                <w:sz w:val="22"/>
                <w:szCs w:val="22"/>
                <w:lang w:eastAsia="uk-UA"/>
              </w:rPr>
              <w:t>Надання субсидії для відшкодування витрат на оплату житлово-комунальних послуг, придбання скрапленого газу, твердого та рідкого пічного побутового палива</w:t>
            </w:r>
          </w:p>
        </w:tc>
      </w:tr>
      <w:tr>
        <w:trPr/>
        <w:tc>
          <w:tcPr>
            <w:tcW w:w="625" w:type="dxa"/>
            <w:tcBorders>
              <w:left w:val="single" w:sz="4" w:space="0" w:color="000000"/>
              <w:bottom w:val="single" w:sz="4" w:space="0" w:color="000000"/>
            </w:tcBorders>
          </w:tcPr>
          <w:p>
            <w:pPr>
              <w:pStyle w:val="Style29"/>
              <w:widowControl w:val="false"/>
              <w:tabs>
                <w:tab w:val="clear" w:pos="708"/>
                <w:tab w:val="left" w:pos="173" w:leader="none"/>
              </w:tabs>
              <w:snapToGrid w:val="false"/>
              <w:spacing w:before="0" w:after="0"/>
              <w:ind w:left="0" w:right="0" w:hanging="0"/>
              <w:contextualSpacing/>
              <w:jc w:val="both"/>
              <w:rPr>
                <w:b w:val="false"/>
                <w:b w:val="false"/>
                <w:bCs w:val="false"/>
                <w:color w:val="000000"/>
                <w:sz w:val="21"/>
                <w:szCs w:val="21"/>
                <w:lang w:eastAsia="uk-UA"/>
              </w:rPr>
            </w:pPr>
            <w:r>
              <w:rPr>
                <w:b w:val="false"/>
                <w:bCs w:val="false"/>
                <w:color w:val="000000"/>
                <w:sz w:val="21"/>
                <w:szCs w:val="21"/>
                <w:lang w:eastAsia="uk-UA"/>
              </w:rPr>
              <w:t>54</w:t>
            </w:r>
          </w:p>
        </w:tc>
        <w:tc>
          <w:tcPr>
            <w:tcW w:w="8516" w:type="dxa"/>
            <w:tcBorders>
              <w:bottom w:val="single" w:sz="4" w:space="0" w:color="000000"/>
              <w:right w:val="single" w:sz="4" w:space="0" w:color="000000"/>
            </w:tcBorders>
          </w:tcPr>
          <w:p>
            <w:pPr>
              <w:pStyle w:val="Style29"/>
              <w:widowControl w:val="false"/>
              <w:tabs>
                <w:tab w:val="clear" w:pos="708"/>
                <w:tab w:val="left" w:pos="173" w:leader="none"/>
              </w:tabs>
              <w:spacing w:before="0" w:after="0"/>
              <w:ind w:left="0" w:right="0" w:hanging="0"/>
              <w:contextualSpacing/>
              <w:jc w:val="both"/>
              <w:rPr>
                <w:b w:val="false"/>
                <w:b w:val="false"/>
                <w:bCs w:val="false"/>
                <w:color w:val="000000"/>
                <w:sz w:val="22"/>
                <w:szCs w:val="22"/>
                <w:lang w:eastAsia="uk-UA"/>
              </w:rPr>
            </w:pPr>
            <w:r>
              <w:rPr>
                <w:b w:val="false"/>
                <w:bCs w:val="false"/>
                <w:color w:val="000000"/>
                <w:sz w:val="22"/>
                <w:szCs w:val="22"/>
                <w:lang w:eastAsia="uk-UA"/>
              </w:rPr>
              <w:t>Призначення пільги на придбання палива, у тому числі рідкого, скрапленого балонного газу для побутових потреб</w:t>
            </w:r>
          </w:p>
        </w:tc>
      </w:tr>
      <w:tr>
        <w:trPr/>
        <w:tc>
          <w:tcPr>
            <w:tcW w:w="625" w:type="dxa"/>
            <w:tcBorders>
              <w:left w:val="single" w:sz="4" w:space="0" w:color="000000"/>
              <w:bottom w:val="single" w:sz="4" w:space="0" w:color="000000"/>
            </w:tcBorders>
          </w:tcPr>
          <w:p>
            <w:pPr>
              <w:pStyle w:val="Style29"/>
              <w:widowControl w:val="false"/>
              <w:snapToGrid w:val="false"/>
              <w:spacing w:before="0" w:after="0"/>
              <w:contextualSpacing/>
              <w:jc w:val="center"/>
              <w:rPr>
                <w:b/>
                <w:b/>
                <w:color w:val="000000"/>
                <w:sz w:val="21"/>
                <w:szCs w:val="21"/>
              </w:rPr>
            </w:pPr>
            <w:r>
              <w:rPr>
                <w:b/>
                <w:color w:val="000000"/>
                <w:sz w:val="21"/>
                <w:szCs w:val="21"/>
              </w:rPr>
            </w:r>
          </w:p>
        </w:tc>
        <w:tc>
          <w:tcPr>
            <w:tcW w:w="8516" w:type="dxa"/>
            <w:tcBorders>
              <w:bottom w:val="single" w:sz="4" w:space="0" w:color="000000"/>
              <w:right w:val="single" w:sz="4" w:space="0" w:color="000000"/>
            </w:tcBorders>
          </w:tcPr>
          <w:p>
            <w:pPr>
              <w:pStyle w:val="Style29"/>
              <w:widowControl w:val="false"/>
              <w:spacing w:before="0" w:after="0"/>
              <w:contextualSpacing/>
              <w:jc w:val="center"/>
              <w:rPr>
                <w:b/>
                <w:b/>
                <w:color w:val="000000"/>
                <w:sz w:val="28"/>
                <w:szCs w:val="28"/>
              </w:rPr>
            </w:pPr>
            <w:r>
              <w:rPr>
                <w:b/>
                <w:color w:val="000000"/>
                <w:sz w:val="28"/>
                <w:szCs w:val="28"/>
              </w:rPr>
              <w:t>Управління соціальної політики Нікопольської міської ради</w:t>
            </w:r>
          </w:p>
          <w:p>
            <w:pPr>
              <w:pStyle w:val="Style29"/>
              <w:widowControl w:val="false"/>
              <w:spacing w:before="0" w:after="0"/>
              <w:contextualSpacing/>
              <w:jc w:val="center"/>
              <w:rPr>
                <w:sz w:val="22"/>
                <w:szCs w:val="22"/>
                <w:lang w:eastAsia="uk-UA"/>
              </w:rPr>
            </w:pPr>
            <w:r>
              <w:rPr>
                <w:sz w:val="22"/>
                <w:szCs w:val="22"/>
                <w:lang w:eastAsia="uk-UA"/>
              </w:rPr>
              <w:t>(найменування послуги)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55</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пільги на оплату житла, комунальних послуг</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56</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color w:val="000000"/>
                <w:sz w:val="21"/>
                <w:szCs w:val="21"/>
              </w:rPr>
            </w:pPr>
            <w:r>
              <w:rPr>
                <w:color w:val="000000"/>
                <w:sz w:val="21"/>
                <w:szCs w:val="21"/>
              </w:rPr>
              <w:t>57</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color w:val="000000"/>
                <w:sz w:val="22"/>
                <w:szCs w:val="22"/>
              </w:rPr>
            </w:pPr>
            <w:r>
              <w:rPr>
                <w:color w:val="000000"/>
                <w:sz w:val="22"/>
                <w:szCs w:val="22"/>
              </w:rPr>
              <w:t>Призначення одноразової винагороди жінкам, яким присвоєно почесне звання України «Мати-героїня»</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58</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Прийняття рішення щодо надання соціальних послуг</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59</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Видача довідки для отримання пільг особам з інвалідністю, які не мають права на пенсію чи соціальну допомогу</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60</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державної соціальної допомоги малозабезпеченим сім’ям</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61</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bCs/>
                <w:sz w:val="22"/>
                <w:szCs w:val="22"/>
                <w:lang w:eastAsia="uk-UA"/>
              </w:rPr>
              <w:t>Призначення державної допомоги</w:t>
            </w:r>
            <w:r>
              <w:rPr>
                <w:sz w:val="22"/>
                <w:szCs w:val="22"/>
                <w:lang w:eastAsia="uk-UA"/>
              </w:rPr>
              <w:t>:</w:t>
            </w:r>
          </w:p>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у зв’язку з вагітністю та пологами жінкам, які не застраховані в системі загальнообов’язкового державного соціального страхування</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62</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 народженні дитини, одноразової натуральної допомоги “пакунок малюка” (у тому числі, як складова комплексної послуги «єМалятко»)</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63</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 усиновленні дитини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64</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на дітей, над якими встановлено опіку чи піклування</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65</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на дітей одиноким матерям</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66</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одному з батьків, усиновлювачам, опікунам, піклувальникам, одному з прийомних батьків, батькам-вихователям, які доглядають за хворою дитиною, якій не встановлено інвалідність</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rPr>
            </w:pPr>
            <w:r>
              <w:rPr>
                <w:sz w:val="21"/>
                <w:szCs w:val="21"/>
              </w:rPr>
              <w:t>67</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на дітей, які виховуються у багатодітних сім’ях (у тому числі, як складова комплексної послуги «єМалятко»)</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68</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державної соціальної допомоги особам з інвалідністю з дитинства та дітям з інвалідністю</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69</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Призначення надбавки на догляд за особами з інвалідністю з дитинства та дітьми з інвалідністю</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70</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державної соціальної допомоги особам, які не мають права на пенсію, та особам з інвалідністю</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71</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Призначення державної соціальної допомоги на догляд</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72</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xml:space="preserve"> </w:t>
            </w:r>
            <w:r>
              <w:rPr>
                <w:sz w:val="22"/>
                <w:szCs w:val="22"/>
                <w:lang w:eastAsia="uk-UA"/>
              </w:rPr>
              <w:t>Призначення компенсації за догляд фізичній особі, яка надає соціальні послуги з догляду без здійснення підприємницької діяльності на непрофесійній основі</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73</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Надання інформації з реєстру застрахованих осіб Державного реєстру загальнообов’язкового державного соціального страхування</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color w:val="000000"/>
                <w:sz w:val="21"/>
                <w:szCs w:val="21"/>
              </w:rPr>
            </w:pPr>
            <w:r>
              <w:rPr>
                <w:color w:val="000000"/>
                <w:sz w:val="21"/>
                <w:szCs w:val="21"/>
              </w:rPr>
              <w:t>74</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color w:val="000000"/>
                <w:sz w:val="22"/>
                <w:szCs w:val="22"/>
              </w:rPr>
              <w:t> </w:t>
            </w:r>
            <w:r>
              <w:rPr>
                <w:color w:val="000000"/>
                <w:sz w:val="22"/>
                <w:szCs w:val="22"/>
              </w:rPr>
              <w:t>Призначення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антитерористичних операцій, бойових дій та збройних конфліктів</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75</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76</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Видача довідок про набутий страховий стаж, розмір пенсії, перебування особи на обліку як одержувача пенсії</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77</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Призначення грошової допомоги особі, яка проживає разом з особою з інвалідністю I або II групи внаслідок психічного розладу, яка за висновком ЛКК закладу охорони здоров’я потребує постійного стороннього догляду, на догляд за нею</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78</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Призначення одноразової грошової/матеріальної допомоги особам з інвалідністю та дітям з інвалідністю</w:t>
            </w:r>
          </w:p>
        </w:tc>
      </w:tr>
      <w:tr>
        <w:trPr>
          <w:trHeight w:val="788" w:hRule="atLeast"/>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79</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 xml:space="preserve">Призначення одноразової компенсації: </w:t>
            </w:r>
          </w:p>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r>
      <w:tr>
        <w:trPr>
          <w:trHeight w:val="1085" w:hRule="atLeast"/>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80</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дружинам (чоловікам), якщо та (той) не одружилися вдруге, померлих громадян, смерть яких пов’язана з Чорнобильською катастрофою, участю у ліквідації наслідків інших ядерних аварій, у ядерних випробуваннях, військових навчаннях із застосуванням ядерної зброї, у складанні ядерних зарядів та здійсненні на них регламентних робіт</w:t>
            </w:r>
          </w:p>
        </w:tc>
      </w:tr>
      <w:tr>
        <w:trPr>
          <w:trHeight w:val="605" w:hRule="atLeast"/>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81</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батькам померлого учасника ліквідації наслідків аварії на Чорнобильській АЕС, смерть якого пов’язана з Чорнобильською катастрофою</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82</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категорії 1, або 2, або 3, потерпілим від радіаційного опромінення, віднесеним до категорії 1 або 2</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83</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їхнім батькам</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84</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Призначення грошової компенсації:</w:t>
            </w:r>
          </w:p>
          <w:p>
            <w:pPr>
              <w:pStyle w:val="Style29"/>
              <w:widowControl w:val="false"/>
              <w:tabs>
                <w:tab w:val="clear" w:pos="708"/>
                <w:tab w:val="left" w:pos="317" w:leader="none"/>
              </w:tabs>
              <w:spacing w:before="0" w:after="0"/>
              <w:ind w:left="0" w:right="0" w:hanging="0"/>
              <w:contextualSpacing/>
              <w:jc w:val="both"/>
              <w:rPr/>
            </w:pPr>
            <w:r>
              <w:rPr>
                <w:bCs/>
                <w:sz w:val="22"/>
                <w:szCs w:val="22"/>
                <w:lang w:eastAsia="uk-UA"/>
              </w:rPr>
              <w:t> </w:t>
            </w:r>
            <w:r>
              <w:rPr>
                <w:bCs/>
                <w:sz w:val="22"/>
                <w:szCs w:val="22"/>
                <w:lang w:eastAsia="uk-UA"/>
              </w:rPr>
              <w:t>вартості проїзду до санаторно-курортного закладу і назад особам з інвалідністю внаслідок війни та прирівняним до них особам</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85</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bCs/>
                <w:sz w:val="22"/>
                <w:szCs w:val="22"/>
                <w:lang w:eastAsia="uk-UA"/>
              </w:rPr>
              <w:t> </w:t>
            </w:r>
            <w:r>
              <w:rPr>
                <w:bCs/>
                <w:sz w:val="22"/>
                <w:szCs w:val="22"/>
                <w:lang w:eastAsia="uk-UA"/>
              </w:rPr>
              <w:t>особам з інвалідністю замість санаторно-курортної путівки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86</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вартості проїзду до санаторно-курортного закладу (відділення спинального профілю) і назад особам, які супроводжують осіб з інвалідністю I та II групи з наслідками травм і захворюваннями хребта та спинного мозку</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87</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вартості самостійного санаторно-курортного лікування осіб з інвалідністю</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88</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замість санаторно-курортної путівки громадянам, які постраждали внаслідок Чорнобильської катастрофи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89</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особам з інвалідністю на бензин, ремонт і технічне обслуговування автомобілів та на транспортне обслуговування</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90</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замість санаторно-курортної путівки особам з інвалідністю внаслідок війни та прирівняним до них особам</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91</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Видача направлення до реабілітаційних установ особам з інвалідністю, дітям з інвалідністю, дітям віком до трьох років, які належать до групи ризику щодо отримання інвалідності</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92</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Видача посвідчення особи моряка</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93</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sz w:val="22"/>
                <w:szCs w:val="22"/>
                <w:lang w:eastAsia="uk-UA"/>
              </w:rPr>
              <w:t> </w:t>
            </w:r>
            <w:r>
              <w:rPr>
                <w:sz w:val="22"/>
                <w:szCs w:val="22"/>
                <w:lang w:eastAsia="uk-UA"/>
              </w:rPr>
              <w:t>Видача направлення на проходження обласної, центральної міської у 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94</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Видача направлення на забезпечення технічними та іншими засобами реабілітації осіб з інвалідністю та дітей з інвалідністю</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95</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Установлення статусу, видача посвідчень:</w:t>
            </w:r>
          </w:p>
          <w:p>
            <w:pPr>
              <w:pStyle w:val="Style29"/>
              <w:widowControl w:val="false"/>
              <w:tabs>
                <w:tab w:val="clear" w:pos="708"/>
                <w:tab w:val="left" w:pos="317" w:leader="none"/>
              </w:tabs>
              <w:spacing w:before="0" w:after="0"/>
              <w:ind w:left="0" w:right="0" w:hanging="0"/>
              <w:contextualSpacing/>
              <w:jc w:val="both"/>
              <w:rPr/>
            </w:pPr>
            <w:r>
              <w:rPr>
                <w:bCs/>
                <w:sz w:val="22"/>
                <w:szCs w:val="22"/>
                <w:lang w:eastAsia="uk-UA"/>
              </w:rPr>
              <w:t> </w:t>
            </w:r>
            <w:r>
              <w:rPr>
                <w:bCs/>
                <w:sz w:val="22"/>
                <w:szCs w:val="22"/>
                <w:lang w:eastAsia="uk-UA"/>
              </w:rPr>
              <w:t>особам, які постраждали внаслідок Чорнобильської катастрофи (відповідно до визначених категорій)</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96</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членам сім’ї загиблого (померлого) ветерана війни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97</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учасникам війни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98</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особам з інвалідністю внаслідок війни</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99</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особам з інвалідністю та особам з інвалідністю з дитинства</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100</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ветеранам праці</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napToGrid w:val="false"/>
              <w:spacing w:before="0" w:after="0"/>
              <w:ind w:left="0" w:right="0" w:hanging="0"/>
              <w:contextualSpacing/>
              <w:jc w:val="both"/>
              <w:rPr>
                <w:bCs/>
                <w:sz w:val="21"/>
                <w:szCs w:val="21"/>
                <w:lang w:eastAsia="uk-UA"/>
              </w:rPr>
            </w:pPr>
            <w:r>
              <w:rPr>
                <w:bCs/>
                <w:sz w:val="21"/>
                <w:szCs w:val="21"/>
                <w:lang w:eastAsia="uk-UA"/>
              </w:rPr>
              <w:t>101</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napToGrid w:val="false"/>
              <w:spacing w:before="0" w:after="0"/>
              <w:ind w:left="0" w:right="0" w:hanging="0"/>
              <w:contextualSpacing/>
              <w:jc w:val="both"/>
              <w:rPr/>
            </w:pPr>
            <w:r>
              <w:rPr>
                <w:rFonts w:cs="Times New Roman"/>
                <w:b w:val="false"/>
                <w:bCs/>
                <w:i w:val="false"/>
                <w:caps w:val="false"/>
                <w:smallCaps w:val="false"/>
                <w:color w:val="333333"/>
                <w:spacing w:val="0"/>
                <w:sz w:val="22"/>
                <w:szCs w:val="22"/>
                <w:lang w:eastAsia="uk-UA"/>
              </w:rPr>
              <w:t>Надання допомоги на проживання внутрішньо переміщеним особам</w:t>
            </w:r>
            <w:r>
              <w:rPr>
                <w:bCs/>
                <w:sz w:val="22"/>
                <w:szCs w:val="22"/>
                <w:lang w:eastAsia="uk-UA"/>
              </w:rPr>
              <w:t xml:space="preserve"> </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102</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pPr>
            <w:r>
              <w:rPr>
                <w:rFonts w:cs="Times New Roman"/>
                <w:b w:val="false"/>
                <w:bCs/>
                <w:i w:val="false"/>
                <w:caps w:val="false"/>
                <w:smallCaps w:val="false"/>
                <w:color w:val="333333"/>
                <w:spacing w:val="0"/>
                <w:sz w:val="22"/>
                <w:szCs w:val="22"/>
                <w:lang w:eastAsia="uk-UA"/>
              </w:rPr>
              <w:t>Видача довідки про взяття на облік внутрішньо переміщеної особи</w:t>
            </w:r>
            <w:r>
              <w:rPr>
                <w:bCs/>
                <w:sz w:val="22"/>
                <w:szCs w:val="22"/>
                <w:lang w:eastAsia="uk-UA"/>
              </w:rPr>
              <w:t xml:space="preserve"> </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103</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2"/>
                <w:szCs w:val="22"/>
                <w:lang w:eastAsia="uk-UA"/>
              </w:rPr>
            </w:pPr>
            <w:r>
              <w:rPr>
                <w:bCs/>
                <w:sz w:val="22"/>
                <w:szCs w:val="22"/>
                <w:lang w:eastAsia="uk-UA"/>
              </w:rPr>
              <w:t>Взяття на облік для забезпечення санаторно-курортним лікуванням (путівками):</w:t>
            </w:r>
          </w:p>
          <w:p>
            <w:pPr>
              <w:pStyle w:val="Style29"/>
              <w:widowControl w:val="false"/>
              <w:tabs>
                <w:tab w:val="clear" w:pos="708"/>
                <w:tab w:val="left" w:pos="317" w:leader="none"/>
              </w:tabs>
              <w:spacing w:before="0" w:after="0"/>
              <w:ind w:left="0" w:right="0" w:hanging="0"/>
              <w:contextualSpacing/>
              <w:jc w:val="both"/>
              <w:rPr/>
            </w:pPr>
            <w:r>
              <w:rPr>
                <w:bCs/>
                <w:sz w:val="22"/>
                <w:szCs w:val="22"/>
                <w:lang w:eastAsia="uk-UA"/>
              </w:rPr>
              <w:t> </w:t>
            </w:r>
            <w:r>
              <w:rPr>
                <w:bCs/>
                <w:sz w:val="22"/>
                <w:szCs w:val="22"/>
                <w:lang w:eastAsia="uk-UA"/>
              </w:rPr>
              <w:t>осіб з інвалідністю;</w:t>
            </w:r>
          </w:p>
        </w:tc>
      </w:tr>
      <w:tr>
        <w:trPr/>
        <w:tc>
          <w:tcPr>
            <w:tcW w:w="625" w:type="dxa"/>
            <w:tcBorders>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bCs/>
                <w:sz w:val="21"/>
                <w:szCs w:val="21"/>
                <w:lang w:eastAsia="uk-UA"/>
              </w:rPr>
            </w:pPr>
            <w:r>
              <w:rPr>
                <w:bCs/>
                <w:sz w:val="21"/>
                <w:szCs w:val="21"/>
                <w:lang w:eastAsia="uk-UA"/>
              </w:rPr>
              <w:t>104</w:t>
            </w:r>
          </w:p>
        </w:tc>
        <w:tc>
          <w:tcPr>
            <w:tcW w:w="8516" w:type="dxa"/>
            <w:tcBorders>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громадян, які постраждали внаслідок Чорнобильської катастрофи</w:t>
            </w:r>
          </w:p>
        </w:tc>
      </w:tr>
      <w:tr>
        <w:trPr/>
        <w:tc>
          <w:tcPr>
            <w:tcW w:w="625" w:type="dxa"/>
            <w:tcBorders>
              <w:top w:val="single" w:sz="4" w:space="0" w:color="000000"/>
              <w:left w:val="single" w:sz="4" w:space="0" w:color="000000"/>
              <w:bottom w:val="single" w:sz="4" w:space="0" w:color="000000"/>
            </w:tcBorders>
          </w:tcPr>
          <w:p>
            <w:pPr>
              <w:pStyle w:val="Style29"/>
              <w:widowControl w:val="false"/>
              <w:tabs>
                <w:tab w:val="clear" w:pos="708"/>
                <w:tab w:val="left" w:pos="317" w:leader="none"/>
              </w:tabs>
              <w:spacing w:before="0" w:after="0"/>
              <w:ind w:left="0" w:right="0" w:hanging="0"/>
              <w:contextualSpacing/>
              <w:jc w:val="both"/>
              <w:rPr>
                <w:sz w:val="21"/>
                <w:szCs w:val="21"/>
                <w:lang w:eastAsia="uk-UA"/>
              </w:rPr>
            </w:pPr>
            <w:r>
              <w:rPr>
                <w:sz w:val="21"/>
                <w:szCs w:val="21"/>
                <w:lang w:eastAsia="uk-UA"/>
              </w:rPr>
              <w:t>105</w:t>
            </w:r>
          </w:p>
        </w:tc>
        <w:tc>
          <w:tcPr>
            <w:tcW w:w="8516" w:type="dxa"/>
            <w:tcBorders>
              <w:top w:val="single" w:sz="4" w:space="0" w:color="000000"/>
              <w:bottom w:val="single" w:sz="4" w:space="0" w:color="000000"/>
              <w:right w:val="single" w:sz="4" w:space="0" w:color="000000"/>
            </w:tcBorders>
          </w:tcPr>
          <w:p>
            <w:pPr>
              <w:pStyle w:val="Style29"/>
              <w:widowControl w:val="false"/>
              <w:tabs>
                <w:tab w:val="clear" w:pos="708"/>
                <w:tab w:val="left" w:pos="317" w:leader="none"/>
              </w:tabs>
              <w:spacing w:before="0" w:after="0"/>
              <w:ind w:left="0" w:right="0" w:hanging="0"/>
              <w:contextualSpacing/>
              <w:jc w:val="both"/>
              <w:rPr>
                <w:sz w:val="22"/>
                <w:szCs w:val="22"/>
                <w:lang w:eastAsia="uk-UA"/>
              </w:rPr>
            </w:pPr>
            <w:r>
              <w:rPr>
                <w:sz w:val="22"/>
                <w:szCs w:val="22"/>
                <w:lang w:eastAsia="uk-UA"/>
              </w:rPr>
              <w:t>Призначення щомісячної адресної грошової допомоги внутрішньо переміщеним особам для покриття витрат на проживання, в тому числі на оплату житлово-комунальних послуг</w:t>
            </w:r>
          </w:p>
          <w:p>
            <w:pPr>
              <w:pStyle w:val="1"/>
              <w:widowControl w:val="false"/>
              <w:numPr>
                <w:ilvl w:val="0"/>
                <w:numId w:val="0"/>
              </w:numPr>
              <w:tabs>
                <w:tab w:val="clear" w:pos="708"/>
                <w:tab w:val="left" w:pos="317" w:leader="none"/>
              </w:tabs>
              <w:spacing w:before="0" w:after="0"/>
              <w:ind w:left="0" w:right="0" w:hanging="0"/>
              <w:contextualSpacing/>
              <w:jc w:val="both"/>
              <w:rPr>
                <w:rFonts w:ascii="Times New Roman" w:hAnsi="Times New Roman" w:cs="Times New Roman"/>
                <w:b w:val="false"/>
                <w:b w:val="false"/>
                <w:color w:val="212529"/>
                <w:sz w:val="22"/>
                <w:szCs w:val="22"/>
                <w:lang w:eastAsia="uk-UA"/>
              </w:rPr>
            </w:pPr>
            <w:r>
              <w:rPr>
                <w:rFonts w:cs="Times New Roman"/>
                <w:b w:val="false"/>
                <w:color w:val="212529"/>
                <w:sz w:val="22"/>
                <w:szCs w:val="22"/>
                <w:lang w:eastAsia="uk-UA"/>
              </w:rPr>
              <w:t>Компенсація витрат за тимчасове розміщення переселенців/450 грн за прихист</w:t>
            </w:r>
          </w:p>
        </w:tc>
      </w:tr>
      <w:tr>
        <w:trPr/>
        <w:tc>
          <w:tcPr>
            <w:tcW w:w="625" w:type="dxa"/>
            <w:tcBorders>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bottom w:val="single" w:sz="4" w:space="0" w:color="000000"/>
              <w:right w:val="single" w:sz="4" w:space="0" w:color="000000"/>
            </w:tcBorders>
          </w:tcPr>
          <w:p>
            <w:pPr>
              <w:pStyle w:val="Normal"/>
              <w:widowControl w:val="false"/>
              <w:jc w:val="center"/>
              <w:rPr>
                <w:b/>
                <w:b/>
                <w:sz w:val="28"/>
              </w:rPr>
            </w:pPr>
            <w:r>
              <w:rPr>
                <w:b/>
                <w:sz w:val="28"/>
              </w:rPr>
              <w:t>Відділ “Центр надання адміністративних послуг  м. Нікополя”</w:t>
            </w:r>
          </w:p>
        </w:tc>
      </w:tr>
      <w:tr>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106</w:t>
            </w:r>
          </w:p>
        </w:tc>
        <w:tc>
          <w:tcPr>
            <w:tcW w:w="8516" w:type="dxa"/>
            <w:tcBorders>
              <w:bottom w:val="single" w:sz="4" w:space="0" w:color="000000"/>
              <w:right w:val="single" w:sz="4" w:space="0" w:color="000000"/>
            </w:tcBorders>
          </w:tcPr>
          <w:p>
            <w:pPr>
              <w:pStyle w:val="Normal"/>
              <w:widowControl w:val="false"/>
              <w:tabs>
                <w:tab w:val="clear" w:pos="708"/>
                <w:tab w:val="left" w:pos="317" w:leader="none"/>
              </w:tabs>
              <w:spacing w:before="0" w:after="0"/>
              <w:contextualSpacing/>
              <w:rPr/>
            </w:pPr>
            <w:r>
              <w:rPr>
                <w:color w:val="000000"/>
                <w:sz w:val="22"/>
                <w:szCs w:val="22"/>
                <w:lang w:val="ru-RU"/>
              </w:rPr>
              <w:t>На</w:t>
            </w:r>
            <w:r>
              <w:rPr>
                <w:color w:val="000000"/>
                <w:sz w:val="22"/>
                <w:szCs w:val="22"/>
              </w:rPr>
              <w:t>дання інформації з Державного реєстру речових прав на нерухоме майно</w:t>
            </w:r>
          </w:p>
        </w:tc>
      </w:tr>
      <w:tr>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107</w:t>
            </w:r>
          </w:p>
        </w:tc>
        <w:tc>
          <w:tcPr>
            <w:tcW w:w="8516" w:type="dxa"/>
            <w:tcBorders>
              <w:bottom w:val="single" w:sz="4" w:space="0" w:color="000000"/>
              <w:right w:val="single" w:sz="4" w:space="0" w:color="000000"/>
            </w:tcBorders>
          </w:tcPr>
          <w:p>
            <w:pPr>
              <w:pStyle w:val="Normal"/>
              <w:widowControl w:val="false"/>
              <w:rPr>
                <w:sz w:val="22"/>
                <w:szCs w:val="22"/>
              </w:rPr>
            </w:pPr>
            <w:r>
              <w:rPr>
                <w:sz w:val="22"/>
                <w:szCs w:val="22"/>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r>
      <w:tr>
        <w:trPr/>
        <w:tc>
          <w:tcPr>
            <w:tcW w:w="625" w:type="dxa"/>
            <w:tcBorders>
              <w:left w:val="single" w:sz="4" w:space="0" w:color="000000"/>
              <w:bottom w:val="single" w:sz="4" w:space="0" w:color="000000"/>
            </w:tcBorders>
          </w:tcPr>
          <w:p>
            <w:pPr>
              <w:pStyle w:val="Normal"/>
              <w:widowControl w:val="false"/>
              <w:snapToGrid w:val="false"/>
              <w:rPr>
                <w:b/>
                <w:b/>
                <w:sz w:val="21"/>
                <w:szCs w:val="21"/>
              </w:rPr>
            </w:pPr>
            <w:r>
              <w:rPr>
                <w:b/>
                <w:sz w:val="21"/>
                <w:szCs w:val="21"/>
              </w:rPr>
            </w:r>
          </w:p>
        </w:tc>
        <w:tc>
          <w:tcPr>
            <w:tcW w:w="8516" w:type="dxa"/>
            <w:tcBorders>
              <w:bottom w:val="single" w:sz="4" w:space="0" w:color="000000"/>
              <w:right w:val="single" w:sz="4" w:space="0" w:color="000000"/>
            </w:tcBorders>
          </w:tcPr>
          <w:p>
            <w:pPr>
              <w:pStyle w:val="Normal"/>
              <w:widowControl w:val="false"/>
              <w:jc w:val="center"/>
              <w:rPr>
                <w:b/>
                <w:b/>
                <w:sz w:val="28"/>
              </w:rPr>
            </w:pPr>
            <w:r>
              <w:rPr>
                <w:b/>
                <w:sz w:val="28"/>
              </w:rPr>
              <w:t>Відділ з питань державного архітектурно-будівельного контролю</w:t>
            </w:r>
          </w:p>
          <w:p>
            <w:pPr>
              <w:pStyle w:val="Normal"/>
              <w:widowControl w:val="false"/>
              <w:jc w:val="center"/>
              <w:rPr>
                <w:b/>
                <w:b/>
                <w:sz w:val="28"/>
              </w:rPr>
            </w:pPr>
            <w:r>
              <w:rPr>
                <w:b/>
                <w:sz w:val="28"/>
              </w:rPr>
              <w:t>Нікопольської міської ради</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bCs/>
                <w:color w:val="000000"/>
                <w:sz w:val="21"/>
                <w:szCs w:val="21"/>
              </w:rPr>
            </w:pPr>
            <w:r>
              <w:rPr>
                <w:bCs/>
                <w:color w:val="000000"/>
                <w:sz w:val="21"/>
                <w:szCs w:val="21"/>
              </w:rPr>
              <w:t>108</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bCs/>
                <w:color w:val="000000"/>
                <w:sz w:val="22"/>
                <w:szCs w:val="22"/>
              </w:rPr>
            </w:pPr>
            <w:r>
              <w:rPr>
                <w:bCs/>
                <w:color w:val="000000"/>
                <w:sz w:val="22"/>
                <w:szCs w:val="22"/>
              </w:rPr>
              <w:t>Видача дозволу на виконання будівельних робіт щодо об’єктів, які за класом наслідків (відповідності) належать до об’єктів із середніми (СС2) наслідками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109</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 xml:space="preserve">Внесення </w:t>
            </w:r>
            <w:r>
              <w:rPr>
                <w:color w:val="000000"/>
                <w:sz w:val="22"/>
                <w:szCs w:val="22"/>
                <w:shd w:fill="FFFFFF" w:val="clear"/>
              </w:rPr>
              <w:t>змін до зареєстрованого дозволу на виконання будівельних робіт щодо об’єктів, які за класом наслідків (відповідності) належать до об’єкті із середнім (СС2) наслідками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110</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Реєстрація декларації про готовність об'єкта до експлуатації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tabs>
                <w:tab w:val="clear" w:pos="708"/>
                <w:tab w:val="left" w:pos="5460" w:leader="none"/>
              </w:tabs>
              <w:spacing w:before="0" w:after="0"/>
              <w:jc w:val="both"/>
              <w:rPr>
                <w:bCs/>
                <w:color w:val="000000"/>
                <w:sz w:val="21"/>
                <w:szCs w:val="21"/>
              </w:rPr>
            </w:pPr>
            <w:r>
              <w:rPr>
                <w:bCs/>
                <w:color w:val="000000"/>
                <w:sz w:val="21"/>
                <w:szCs w:val="21"/>
              </w:rPr>
              <w:t>111</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tabs>
                <w:tab w:val="clear" w:pos="708"/>
                <w:tab w:val="left" w:pos="5460" w:leader="none"/>
              </w:tabs>
              <w:spacing w:before="0" w:after="0"/>
              <w:jc w:val="both"/>
              <w:rPr>
                <w:bCs/>
                <w:color w:val="000000"/>
                <w:sz w:val="22"/>
                <w:szCs w:val="22"/>
              </w:rPr>
            </w:pPr>
            <w:r>
              <w:rPr>
                <w:bCs/>
                <w:color w:val="000000"/>
                <w:sz w:val="22"/>
                <w:szCs w:val="22"/>
              </w:rPr>
              <w:t>Внесення змін до зареєстрованої декларації про готовність об’єкта до експлуатації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112</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Видача сертифіката прийняття в експлуатацією об’єкта, що за класом наслідків (відповідності) належать до об’єктів із середніми (СС2) наслідками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113</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Реєстрація повідомлення про початок виконання підготовчих робіт щодо об’єктів, що за класом наслідків (відповідальності) належать до об’єктів з незначними (СС1) та середніми (СС2) наслідками, розташованих у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114</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Реєстрація повідомлення про початок виконання будівельних робіт щодо об’єктів, будівництво яких здійснюється на підставі будівельного паспорта, розташованих у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115</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Реєстрація повідомлення про початок виконання будівельних робіт щодо об’єктів, що класом наслідків (відповідальності) належать до об’єктів з незначними наслідками (СС1), розташованих у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116</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Внесення змін до зареєстрованого в установленому порядку повідомлення про початок виконання підготовчих робіт щодо об’єктів, що за класом наслідків (відповідальності) належать до об’єктів з незначними (СС1) середніми (СС2) наслідками, розташованих у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117</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Внесення змін до зареєстрованого в установленому порядку повідомлення про початок виконання будівельних робіт щодо об’єктів, будівництво яких здійснюється на підставі будівельного паспорта, розташованих у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118</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Внесення змін до зареєстрованого в установленому порядку повідомлення про початок виконання будівельних робіт щодо об’єктів, що за класом наслідків (відповідальності) належать до об’єктів з незначними наслідками (СС1), розташованих в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119</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Внесення змін до зареєстрованої в установленому порядку декларації про початок виконання підготовчих робіт щодо об’єктів,  розташованих в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120</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Внесення змін до зареєстрованої в установленому порядку декларації про початок виконання будівельних робіт щодо об’єктів, розташованих в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121</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rPr>
              <w:t xml:space="preserve">Внесення змін до зареєстрованої в установленому порядку декларації про готовність об’єкта до експлуатації  (відповідно до пункту 9 розділу </w:t>
            </w:r>
            <w:r>
              <w:rPr>
                <w:sz w:val="22"/>
                <w:szCs w:val="22"/>
                <w:lang w:val="en-US"/>
              </w:rPr>
              <w:t>V</w:t>
            </w:r>
            <w:r>
              <w:rPr>
                <w:sz w:val="22"/>
                <w:szCs w:val="22"/>
              </w:rPr>
              <w:t xml:space="preserve"> «Прикінцеві положення» Закону України «Про регулювання містобудівної діяльності»), розташованих в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122</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Скасування за заявою замовника повідомлення про початок виконання підготовчих робіт щодо об’єктів, що за класом наслідків (відповідальності) належать до об’єктів з незначними (СС1) та середніми (СС2) наслідками, розташованих в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123</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Скасування за заявою замовника повідомлення про початок виконання будівельних робіт щодо об’єктів, будівництво яких здійснюється на підставі будівельного паспорта, розташованих у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124</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Скасування за заявою замовника повідомлення про початок виконання будівельних робіт щодо об’єктів, що за класом наслідків (відповідальності) належать до об’єктів з незначними наслідками (СС1), розташованих в межах м. Нікополя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125</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Анулювання за заявою замовника дозволу на виконання будівельних робіт щодо об’єктів, які за класом наслідків (відповідальності) належать до об’єктів із середніми (СС2) наслідками, розташованих в межах м. Нікополя</w:t>
            </w:r>
          </w:p>
        </w:tc>
      </w:tr>
      <w:tr>
        <w:trPr>
          <w:trHeight w:val="408" w:hRule="atLeast"/>
        </w:trPr>
        <w:tc>
          <w:tcPr>
            <w:tcW w:w="625" w:type="dxa"/>
            <w:tcBorders>
              <w:top w:val="single" w:sz="4" w:space="0" w:color="000000"/>
              <w:left w:val="single" w:sz="4" w:space="0" w:color="000000"/>
              <w:bottom w:val="single" w:sz="4" w:space="0" w:color="000000"/>
            </w:tcBorders>
          </w:tcPr>
          <w:p>
            <w:pPr>
              <w:pStyle w:val="Style31"/>
              <w:widowControl w:val="false"/>
              <w:snapToGrid w:val="false"/>
              <w:jc w:val="center"/>
              <w:rPr>
                <w:b/>
                <w:b/>
                <w:bCs/>
                <w:sz w:val="21"/>
                <w:szCs w:val="21"/>
                <w:lang w:eastAsia="uk-UA"/>
              </w:rPr>
            </w:pPr>
            <w:r>
              <w:rPr>
                <w:b/>
                <w:bCs/>
                <w:sz w:val="21"/>
                <w:szCs w:val="21"/>
                <w:lang w:eastAsia="uk-UA"/>
              </w:rPr>
            </w:r>
          </w:p>
        </w:tc>
        <w:tc>
          <w:tcPr>
            <w:tcW w:w="8516" w:type="dxa"/>
            <w:tcBorders>
              <w:top w:val="single" w:sz="4" w:space="0" w:color="000000"/>
              <w:bottom w:val="single" w:sz="4" w:space="0" w:color="000000"/>
              <w:right w:val="single" w:sz="4" w:space="0" w:color="000000"/>
            </w:tcBorders>
          </w:tcPr>
          <w:p>
            <w:pPr>
              <w:pStyle w:val="Style31"/>
              <w:widowControl w:val="false"/>
              <w:jc w:val="center"/>
              <w:rPr>
                <w:b/>
                <w:b/>
                <w:bCs/>
                <w:sz w:val="22"/>
                <w:szCs w:val="22"/>
                <w:lang w:eastAsia="uk-UA"/>
              </w:rPr>
            </w:pPr>
            <w:r>
              <w:rPr>
                <w:b/>
                <w:bCs/>
                <w:sz w:val="22"/>
                <w:szCs w:val="22"/>
                <w:lang w:eastAsia="uk-UA"/>
              </w:rPr>
              <w:t>ВІДДІЛ № 5 УПРАВЛІННЯ НАДАННЯ АДМІНІСТРАТИВНИХ ПОСЛУГ ГОЛОВНОГО УПРАВЛІННЯ ДЕРЖГЕОКАДАСТРУ У ДНІПРОПЕТРОВСЬКІЙ ОБЛАСТІ</w:t>
            </w:r>
          </w:p>
          <w:p>
            <w:pPr>
              <w:pStyle w:val="Normal"/>
              <w:widowControl w:val="false"/>
              <w:jc w:val="center"/>
              <w:rPr>
                <w:b/>
                <w:b/>
                <w:bCs/>
                <w:sz w:val="22"/>
                <w:szCs w:val="22"/>
                <w:lang w:eastAsia="uk-UA"/>
              </w:rPr>
            </w:pPr>
            <w:r>
              <w:rPr>
                <w:b/>
                <w:bCs/>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126</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Державна реєстрація земельної ділянки з видачею витягу з Державного земельного кадастру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127</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Внесення до Державного земельного кадастру відомостей (змін до них) про земельну ділянку з видачею витягу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128</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129</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Внесення до Державного земельного кадастру відомостей (змін до них) про землі в межах територій адміністративно-територіальних одиниць з видачею витягу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130</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Внесення до Державного земельного кадастру відомостей про обмеження у використанні земель, безпосередньо встановлені законами та прийнятими відповідно до них нормативно-правовими актами, з видачею витягу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131</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Державна реєстрація обмежень у використанні земель з видачею витягу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132</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Виправлення технічної помилки у відомостях Державного земельного кадастру не з вини органу, що здійснює його ведення </w:t>
            </w:r>
          </w:p>
        </w:tc>
      </w:tr>
      <w:tr>
        <w:trPr/>
        <w:tc>
          <w:tcPr>
            <w:tcW w:w="625" w:type="dxa"/>
            <w:tcBorders>
              <w:top w:val="single" w:sz="4" w:space="0" w:color="000000"/>
              <w:left w:val="single" w:sz="4" w:space="0" w:color="000000"/>
              <w:bottom w:val="single" w:sz="4" w:space="0" w:color="000000"/>
            </w:tcBorders>
          </w:tcPr>
          <w:p>
            <w:pPr>
              <w:pStyle w:val="Style20"/>
              <w:widowControl w:val="false"/>
              <w:spacing w:before="0" w:after="120"/>
              <w:rPr>
                <w:sz w:val="21"/>
                <w:szCs w:val="21"/>
              </w:rPr>
            </w:pPr>
            <w:r>
              <w:rPr>
                <w:sz w:val="21"/>
                <w:szCs w:val="21"/>
              </w:rPr>
              <w:t>133</w:t>
            </w:r>
          </w:p>
        </w:tc>
        <w:tc>
          <w:tcPr>
            <w:tcW w:w="8516" w:type="dxa"/>
            <w:tcBorders>
              <w:top w:val="single" w:sz="4" w:space="0" w:color="000000"/>
              <w:bottom w:val="single" w:sz="4" w:space="0" w:color="000000"/>
              <w:right w:val="single" w:sz="4" w:space="0" w:color="000000"/>
            </w:tcBorders>
          </w:tcPr>
          <w:p>
            <w:pPr>
              <w:pStyle w:val="Style20"/>
              <w:widowControl w:val="false"/>
              <w:spacing w:before="0" w:after="120"/>
              <w:rPr>
                <w:sz w:val="22"/>
                <w:szCs w:val="22"/>
              </w:rPr>
            </w:pPr>
            <w:r>
              <w:rPr>
                <w:sz w:val="22"/>
                <w:szCs w:val="22"/>
              </w:rPr>
              <w:t>Виправлення технічної помилки у відомостях з Державного земельного кадастру, яка була допущена органом, що здійснює його ведення, з видачею витягу</w:t>
            </w:r>
          </w:p>
        </w:tc>
      </w:tr>
      <w:tr>
        <w:trPr/>
        <w:tc>
          <w:tcPr>
            <w:tcW w:w="625" w:type="dxa"/>
            <w:tcBorders>
              <w:left w:val="single" w:sz="4" w:space="0" w:color="000000"/>
              <w:bottom w:val="single" w:sz="4" w:space="0" w:color="000000"/>
            </w:tcBorders>
          </w:tcPr>
          <w:p>
            <w:pPr>
              <w:pStyle w:val="Style20"/>
              <w:widowControl w:val="false"/>
              <w:spacing w:before="0" w:after="120"/>
              <w:rPr>
                <w:sz w:val="21"/>
                <w:szCs w:val="21"/>
              </w:rPr>
            </w:pPr>
            <w:r>
              <w:rPr>
                <w:sz w:val="21"/>
                <w:szCs w:val="21"/>
              </w:rPr>
              <w:t>134</w:t>
            </w:r>
          </w:p>
        </w:tc>
        <w:tc>
          <w:tcPr>
            <w:tcW w:w="8516" w:type="dxa"/>
            <w:tcBorders>
              <w:bottom w:val="single" w:sz="4" w:space="0" w:color="000000"/>
              <w:right w:val="single" w:sz="4" w:space="0" w:color="000000"/>
            </w:tcBorders>
          </w:tcPr>
          <w:p>
            <w:pPr>
              <w:pStyle w:val="Style20"/>
              <w:widowControl w:val="false"/>
              <w:spacing w:before="0" w:after="120"/>
              <w:rPr>
                <w:sz w:val="22"/>
                <w:szCs w:val="22"/>
              </w:rPr>
            </w:pPr>
            <w:r>
              <w:rPr>
                <w:sz w:val="22"/>
                <w:szCs w:val="22"/>
              </w:rPr>
              <w:t>Виправлення технічної помилки у відомостях Державного земельного кадастру,  допущеної не з вини органу, що здійснює його ведення, з видачею витягу</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135</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Надання відомостей з Державного земельного кадастру у формі витягів з Державного земельного кадастру про землі в межах адміністративно-територіальних одиниць </w:t>
            </w:r>
          </w:p>
        </w:tc>
      </w:tr>
      <w:tr>
        <w:trPr>
          <w:trHeight w:val="560" w:hRule="atLeast"/>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136</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Надання відомостей з Державного земельного кадастру у формі витягу з Державного земельного кадастру про обмеження у використанні земель </w:t>
            </w:r>
          </w:p>
        </w:tc>
      </w:tr>
      <w:tr>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137</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Надання відомостей з Державного земельного кадастру у формі витягів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w:t>
            </w:r>
          </w:p>
        </w:tc>
      </w:tr>
      <w:tr>
        <w:trPr/>
        <w:tc>
          <w:tcPr>
            <w:tcW w:w="625" w:type="dxa"/>
            <w:tcBorders>
              <w:left w:val="single" w:sz="4" w:space="0" w:color="000000"/>
              <w:bottom w:val="single" w:sz="4" w:space="0" w:color="000000"/>
            </w:tcBorders>
          </w:tcPr>
          <w:p>
            <w:pPr>
              <w:pStyle w:val="Style31"/>
              <w:widowControl w:val="false"/>
              <w:rPr>
                <w:sz w:val="21"/>
                <w:szCs w:val="21"/>
              </w:rPr>
            </w:pPr>
            <w:r>
              <w:rPr>
                <w:sz w:val="21"/>
                <w:szCs w:val="21"/>
              </w:rPr>
              <w:t>138</w:t>
            </w:r>
          </w:p>
        </w:tc>
        <w:tc>
          <w:tcPr>
            <w:tcW w:w="8516" w:type="dxa"/>
            <w:tcBorders>
              <w:bottom w:val="single" w:sz="4" w:space="0" w:color="000000"/>
              <w:right w:val="single" w:sz="4" w:space="0" w:color="000000"/>
            </w:tcBorders>
          </w:tcPr>
          <w:p>
            <w:pPr>
              <w:pStyle w:val="Style31"/>
              <w:widowControl w:val="false"/>
              <w:rPr>
                <w:sz w:val="22"/>
                <w:szCs w:val="22"/>
              </w:rPr>
            </w:pPr>
            <w:r>
              <w:rPr>
                <w:sz w:val="22"/>
                <w:szCs w:val="22"/>
              </w:rPr>
              <w:t xml:space="preserve">Надання відомостей з Державного земельного кадастру у формі витягів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2013р. </w:t>
            </w:r>
          </w:p>
        </w:tc>
      </w:tr>
      <w:tr>
        <w:trPr>
          <w:trHeight w:val="353" w:hRule="atLeast"/>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139</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Надання відомостей з Державного земельного кадастру у формі довідки, що містить узагальнену інформацію про землі (території) </w:t>
            </w:r>
          </w:p>
        </w:tc>
      </w:tr>
      <w:tr>
        <w:trPr>
          <w:trHeight w:val="614" w:hRule="atLeast"/>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140</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 </w:t>
            </w:r>
          </w:p>
        </w:tc>
      </w:tr>
      <w:tr>
        <w:trPr>
          <w:trHeight w:val="339" w:hRule="atLeast"/>
        </w:trPr>
        <w:tc>
          <w:tcPr>
            <w:tcW w:w="625" w:type="dxa"/>
            <w:tcBorders>
              <w:top w:val="single" w:sz="4" w:space="0" w:color="000000"/>
              <w:left w:val="single" w:sz="4" w:space="0" w:color="000000"/>
              <w:bottom w:val="single" w:sz="4" w:space="0" w:color="000000"/>
            </w:tcBorders>
          </w:tcPr>
          <w:p>
            <w:pPr>
              <w:pStyle w:val="Style31"/>
              <w:widowControl w:val="false"/>
              <w:rPr>
                <w:sz w:val="21"/>
                <w:szCs w:val="21"/>
              </w:rPr>
            </w:pPr>
            <w:r>
              <w:rPr>
                <w:sz w:val="21"/>
                <w:szCs w:val="21"/>
              </w:rPr>
              <w:t>141</w:t>
            </w:r>
          </w:p>
        </w:tc>
        <w:tc>
          <w:tcPr>
            <w:tcW w:w="8516" w:type="dxa"/>
            <w:tcBorders>
              <w:top w:val="single" w:sz="4" w:space="0" w:color="000000"/>
              <w:bottom w:val="single" w:sz="4" w:space="0" w:color="000000"/>
              <w:right w:val="single" w:sz="4" w:space="0" w:color="000000"/>
            </w:tcBorders>
          </w:tcPr>
          <w:p>
            <w:pPr>
              <w:pStyle w:val="Style31"/>
              <w:widowControl w:val="false"/>
              <w:rPr>
                <w:sz w:val="22"/>
                <w:szCs w:val="22"/>
              </w:rPr>
            </w:pPr>
            <w:r>
              <w:rPr>
                <w:sz w:val="22"/>
                <w:szCs w:val="22"/>
              </w:rPr>
              <w:t xml:space="preserve">Надання відомостей з Державного земельного кадастру у формі копій документів, що створюються під час ведення Державного земельного кадастру </w:t>
            </w:r>
          </w:p>
        </w:tc>
      </w:tr>
      <w:tr>
        <w:trPr>
          <w:trHeight w:val="339" w:hRule="atLeast"/>
        </w:trPr>
        <w:tc>
          <w:tcPr>
            <w:tcW w:w="625" w:type="dxa"/>
            <w:tcBorders>
              <w:left w:val="single" w:sz="4" w:space="0" w:color="000000"/>
              <w:bottom w:val="single" w:sz="4" w:space="0" w:color="000000"/>
            </w:tcBorders>
          </w:tcPr>
          <w:p>
            <w:pPr>
              <w:pStyle w:val="Style31"/>
              <w:widowControl w:val="false"/>
              <w:rPr>
                <w:sz w:val="21"/>
                <w:szCs w:val="21"/>
              </w:rPr>
            </w:pPr>
            <w:r>
              <w:rPr>
                <w:sz w:val="21"/>
                <w:szCs w:val="21"/>
              </w:rPr>
              <w:t>142</w:t>
            </w:r>
          </w:p>
        </w:tc>
        <w:tc>
          <w:tcPr>
            <w:tcW w:w="8516" w:type="dxa"/>
            <w:tcBorders>
              <w:bottom w:val="single" w:sz="4" w:space="0" w:color="000000"/>
              <w:right w:val="single" w:sz="4" w:space="0" w:color="000000"/>
            </w:tcBorders>
          </w:tcPr>
          <w:p>
            <w:pPr>
              <w:pStyle w:val="Style31"/>
              <w:widowControl w:val="false"/>
              <w:rPr>
                <w:sz w:val="22"/>
                <w:szCs w:val="22"/>
              </w:rPr>
            </w:pPr>
            <w:r>
              <w:rPr>
                <w:sz w:val="22"/>
                <w:szCs w:val="22"/>
              </w:rPr>
              <w:t>Надання довідки про осіб, які отримали доступ до інформації про суб’єкта речового права у Державному земельному кадастрі</w:t>
            </w:r>
          </w:p>
        </w:tc>
      </w:tr>
      <w:tr>
        <w:trPr>
          <w:trHeight w:val="718" w:hRule="atLeast"/>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rPr>
            </w:pPr>
            <w:r>
              <w:rPr>
                <w:b/>
                <w:sz w:val="28"/>
                <w:szCs w:val="28"/>
              </w:rPr>
              <w:t>Нікопольський відділ головного управління державної міграційної служби України у Дніпропетровській області</w:t>
            </w:r>
          </w:p>
          <w:p>
            <w:pPr>
              <w:pStyle w:val="Normal"/>
              <w:widowControl w:val="false"/>
              <w:jc w:val="center"/>
              <w:rPr>
                <w:sz w:val="22"/>
                <w:szCs w:val="22"/>
                <w:lang w:eastAsia="uk-UA"/>
              </w:rPr>
            </w:pPr>
            <w:r>
              <w:rPr>
                <w:sz w:val="22"/>
                <w:szCs w:val="22"/>
                <w:lang w:eastAsia="uk-UA"/>
              </w:rPr>
              <w:t>(найменування послуги)</w:t>
            </w:r>
          </w:p>
          <w:p>
            <w:pPr>
              <w:pStyle w:val="Normal"/>
              <w:widowControl w:val="false"/>
              <w:jc w:val="center"/>
              <w:rPr>
                <w:sz w:val="22"/>
                <w:szCs w:val="22"/>
                <w:lang w:eastAsia="uk-UA"/>
              </w:rPr>
            </w:pPr>
            <w:r>
              <w:rPr>
                <w:sz w:val="22"/>
                <w:szCs w:val="22"/>
                <w:lang w:eastAsia="uk-UA"/>
              </w:rPr>
            </w:r>
          </w:p>
        </w:tc>
      </w:tr>
      <w:tr>
        <w:trPr>
          <w:trHeight w:val="237"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143</w:t>
            </w:r>
          </w:p>
        </w:tc>
        <w:tc>
          <w:tcPr>
            <w:tcW w:w="8516" w:type="dxa"/>
            <w:tcBorders>
              <w:top w:val="single" w:sz="4" w:space="0" w:color="000000"/>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з безконтактним електронним носієм вперше після досягнення 14-річного віку</w:t>
            </w:r>
            <w:r>
              <w:rPr>
                <w:sz w:val="22"/>
                <w:szCs w:val="22"/>
              </w:rPr>
              <w:t xml:space="preserve"> </w:t>
            </w:r>
          </w:p>
        </w:tc>
      </w:tr>
      <w:tr>
        <w:trPr>
          <w:trHeight w:val="554"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144</w:t>
            </w:r>
          </w:p>
        </w:tc>
        <w:tc>
          <w:tcPr>
            <w:tcW w:w="8516" w:type="dxa"/>
            <w:tcBorders>
              <w:top w:val="single" w:sz="4" w:space="0" w:color="000000"/>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з безконтактним електронним носієм у зв’язку з втратою/викраденням паспорта громадянина України з безконтактним електронним носієм</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145</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146</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147</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148</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149</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для виїзду за кордон з безконтактним електронним носієм</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150</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r>
              <w:rPr>
                <w:sz w:val="22"/>
                <w:szCs w:val="22"/>
              </w:rPr>
              <w:t xml:space="preserve"> </w:t>
            </w:r>
          </w:p>
        </w:tc>
      </w:tr>
      <w:tr>
        <w:trPr>
          <w:trHeight w:val="554" w:hRule="atLeast"/>
        </w:trPr>
        <w:tc>
          <w:tcPr>
            <w:tcW w:w="625" w:type="dxa"/>
            <w:tcBorders>
              <w:left w:val="single" w:sz="4" w:space="0" w:color="000000"/>
              <w:bottom w:val="single" w:sz="4" w:space="0" w:color="000000"/>
            </w:tcBorders>
          </w:tcPr>
          <w:p>
            <w:pPr>
              <w:pStyle w:val="Normal"/>
              <w:widowControl w:val="false"/>
              <w:rPr>
                <w:sz w:val="21"/>
                <w:szCs w:val="21"/>
              </w:rPr>
            </w:pPr>
            <w:r>
              <w:rPr>
                <w:sz w:val="21"/>
                <w:szCs w:val="21"/>
              </w:rPr>
              <w:t>151</w:t>
            </w:r>
          </w:p>
        </w:tc>
        <w:tc>
          <w:tcPr>
            <w:tcW w:w="8516" w:type="dxa"/>
            <w:tcBorders>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Оформлення і видача паспорта громадянина України для виїзду за кордон з безконтактним електронним носієм замість втраченого або викраденого</w:t>
            </w:r>
            <w:r>
              <w:rPr>
                <w:sz w:val="22"/>
                <w:szCs w:val="22"/>
              </w:rPr>
              <w:t xml:space="preserve"> </w:t>
            </w:r>
          </w:p>
        </w:tc>
      </w:tr>
      <w:tr>
        <w:trPr>
          <w:trHeight w:val="412" w:hRule="atLeast"/>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152</w:t>
            </w:r>
          </w:p>
        </w:tc>
        <w:tc>
          <w:tcPr>
            <w:tcW w:w="8516" w:type="dxa"/>
            <w:tcBorders>
              <w:top w:val="single" w:sz="4" w:space="0" w:color="000000"/>
              <w:bottom w:val="single" w:sz="4" w:space="0" w:color="000000"/>
              <w:right w:val="single" w:sz="4" w:space="0" w:color="000000"/>
            </w:tcBorders>
          </w:tcPr>
          <w:p>
            <w:pPr>
              <w:pStyle w:val="Normal"/>
              <w:widowControl w:val="false"/>
              <w:rPr/>
            </w:pPr>
            <w:r>
              <w:rPr>
                <w:rFonts w:cs="Times New Roman"/>
                <w:b w:val="false"/>
                <w:i w:val="false"/>
                <w:caps w:val="false"/>
                <w:smallCaps w:val="false"/>
                <w:color w:val="333333"/>
                <w:spacing w:val="0"/>
                <w:sz w:val="22"/>
                <w:szCs w:val="22"/>
              </w:rPr>
              <w:t>Вклеювання до паспорта громадянина України (зразка 1994 року) фотокартки при досягненні 25- і 45-річного віку</w:t>
            </w:r>
            <w:r>
              <w:rPr>
                <w:sz w:val="22"/>
                <w:szCs w:val="22"/>
              </w:rPr>
              <w:t xml:space="preserve"> </w:t>
            </w:r>
          </w:p>
        </w:tc>
      </w:tr>
      <w:tr>
        <w:trPr>
          <w:trHeight w:val="434" w:hRule="atLeast"/>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rPr>
            </w:pPr>
            <w:r>
              <w:rPr>
                <w:b/>
                <w:sz w:val="28"/>
                <w:szCs w:val="28"/>
              </w:rPr>
              <w:t>Територіальний сервісний центр № 1245 Регіонального центру МВС</w:t>
            </w:r>
          </w:p>
          <w:p>
            <w:pPr>
              <w:pStyle w:val="Normal"/>
              <w:widowControl w:val="false"/>
              <w:jc w:val="center"/>
              <w:rPr>
                <w:b/>
                <w:b/>
                <w:sz w:val="28"/>
                <w:szCs w:val="28"/>
              </w:rPr>
            </w:pPr>
            <w:r>
              <w:rPr>
                <w:b/>
                <w:sz w:val="28"/>
                <w:szCs w:val="28"/>
              </w:rPr>
              <w:t>в Дніпропетровській області</w:t>
            </w:r>
          </w:p>
          <w:p>
            <w:pPr>
              <w:pStyle w:val="Normal"/>
              <w:widowControl w:val="false"/>
              <w:jc w:val="center"/>
              <w:rPr>
                <w:sz w:val="22"/>
                <w:szCs w:val="22"/>
                <w:lang w:eastAsia="uk-UA"/>
              </w:rPr>
            </w:pPr>
            <w:r>
              <w:rPr>
                <w:sz w:val="22"/>
                <w:szCs w:val="22"/>
                <w:lang w:eastAsia="uk-UA"/>
              </w:rPr>
              <w:t>(найменування послуги)</w:t>
            </w:r>
          </w:p>
        </w:tc>
      </w:tr>
      <w:tr>
        <w:trPr>
          <w:trHeight w:val="427" w:hRule="atLeast"/>
        </w:trPr>
        <w:tc>
          <w:tcPr>
            <w:tcW w:w="625" w:type="dxa"/>
            <w:tcBorders>
              <w:top w:val="single" w:sz="4" w:space="0" w:color="000000"/>
              <w:left w:val="single" w:sz="4" w:space="0" w:color="000000"/>
              <w:bottom w:val="single" w:sz="4" w:space="0" w:color="000000"/>
            </w:tcBorders>
          </w:tcPr>
          <w:p>
            <w:pPr>
              <w:pStyle w:val="Style29"/>
              <w:widowControl w:val="false"/>
              <w:spacing w:before="0" w:after="0"/>
              <w:ind w:left="0" w:right="0" w:hanging="0"/>
              <w:contextualSpacing/>
              <w:jc w:val="both"/>
              <w:rPr>
                <w:sz w:val="21"/>
                <w:szCs w:val="21"/>
              </w:rPr>
            </w:pPr>
            <w:r>
              <w:rPr>
                <w:sz w:val="21"/>
                <w:szCs w:val="21"/>
              </w:rPr>
              <w:t>153</w:t>
            </w:r>
          </w:p>
        </w:tc>
        <w:tc>
          <w:tcPr>
            <w:tcW w:w="8516" w:type="dxa"/>
            <w:tcBorders>
              <w:top w:val="single" w:sz="4" w:space="0" w:color="000000"/>
              <w:bottom w:val="single" w:sz="4" w:space="0" w:color="000000"/>
              <w:right w:val="single" w:sz="4" w:space="0" w:color="000000"/>
            </w:tcBorders>
          </w:tcPr>
          <w:p>
            <w:pPr>
              <w:pStyle w:val="Style29"/>
              <w:widowControl w:val="false"/>
              <w:spacing w:before="0" w:after="0"/>
              <w:ind w:left="0" w:right="0" w:hanging="0"/>
              <w:contextualSpacing/>
              <w:jc w:val="both"/>
              <w:rPr>
                <w:sz w:val="22"/>
                <w:szCs w:val="22"/>
              </w:rPr>
            </w:pPr>
            <w:r>
              <w:rPr>
                <w:sz w:val="22"/>
                <w:szCs w:val="22"/>
              </w:rPr>
              <w:t>Державна реєстрація (перереєстрація, зняття з обліку) транспортних засобів</w:t>
            </w:r>
          </w:p>
        </w:tc>
      </w:tr>
      <w:tr>
        <w:trPr>
          <w:trHeight w:val="310" w:hRule="atLeast"/>
        </w:trPr>
        <w:tc>
          <w:tcPr>
            <w:tcW w:w="625" w:type="dxa"/>
            <w:tcBorders>
              <w:top w:val="single" w:sz="4" w:space="0" w:color="000000"/>
              <w:left w:val="single" w:sz="4" w:space="0" w:color="000000"/>
              <w:bottom w:val="single" w:sz="4" w:space="0" w:color="000000"/>
            </w:tcBorders>
          </w:tcPr>
          <w:p>
            <w:pPr>
              <w:pStyle w:val="Style29"/>
              <w:widowControl w:val="false"/>
              <w:spacing w:before="0" w:after="0"/>
              <w:ind w:left="0" w:right="0" w:hanging="0"/>
              <w:contextualSpacing/>
              <w:jc w:val="both"/>
              <w:rPr>
                <w:sz w:val="21"/>
                <w:szCs w:val="21"/>
              </w:rPr>
            </w:pPr>
            <w:r>
              <w:rPr>
                <w:sz w:val="21"/>
                <w:szCs w:val="21"/>
              </w:rPr>
              <w:t>154</w:t>
            </w:r>
          </w:p>
        </w:tc>
        <w:tc>
          <w:tcPr>
            <w:tcW w:w="8516" w:type="dxa"/>
            <w:tcBorders>
              <w:top w:val="single" w:sz="4" w:space="0" w:color="000000"/>
              <w:bottom w:val="single" w:sz="4" w:space="0" w:color="000000"/>
              <w:right w:val="single" w:sz="4" w:space="0" w:color="000000"/>
            </w:tcBorders>
          </w:tcPr>
          <w:p>
            <w:pPr>
              <w:pStyle w:val="Style29"/>
              <w:widowControl w:val="false"/>
              <w:spacing w:before="0" w:after="0"/>
              <w:ind w:left="0" w:right="0" w:hanging="0"/>
              <w:contextualSpacing/>
              <w:jc w:val="both"/>
              <w:rPr/>
            </w:pPr>
            <w:r>
              <w:rPr>
                <w:color w:val="000000"/>
                <w:sz w:val="22"/>
                <w:szCs w:val="22"/>
                <w:lang w:val="ru-RU"/>
              </w:rPr>
              <w:t> </w:t>
            </w:r>
            <w:r>
              <w:rPr>
                <w:color w:val="000000"/>
                <w:sz w:val="22"/>
                <w:szCs w:val="22"/>
              </w:rPr>
              <w:t>Видача (обмін) посвідчень водія</w:t>
            </w:r>
          </w:p>
        </w:tc>
      </w:tr>
      <w:tr>
        <w:trPr>
          <w:trHeight w:val="381" w:hRule="atLeast"/>
        </w:trPr>
        <w:tc>
          <w:tcPr>
            <w:tcW w:w="625" w:type="dxa"/>
            <w:tcBorders>
              <w:top w:val="single" w:sz="4" w:space="0" w:color="000000"/>
              <w:left w:val="single" w:sz="4" w:space="0" w:color="000000"/>
              <w:bottom w:val="single" w:sz="4" w:space="0" w:color="000000"/>
            </w:tcBorders>
          </w:tcPr>
          <w:p>
            <w:pPr>
              <w:pStyle w:val="Style29"/>
              <w:widowControl w:val="false"/>
              <w:snapToGrid w:val="false"/>
              <w:spacing w:before="0" w:after="0"/>
              <w:contextualSpacing/>
              <w:jc w:val="center"/>
              <w:rPr>
                <w:sz w:val="21"/>
                <w:szCs w:val="21"/>
              </w:rPr>
            </w:pPr>
            <w:r>
              <w:rPr>
                <w:sz w:val="21"/>
                <w:szCs w:val="21"/>
              </w:rPr>
            </w:r>
          </w:p>
        </w:tc>
        <w:tc>
          <w:tcPr>
            <w:tcW w:w="8516" w:type="dxa"/>
            <w:tcBorders>
              <w:top w:val="single" w:sz="4" w:space="0" w:color="000000"/>
              <w:bottom w:val="single" w:sz="4" w:space="0" w:color="000000"/>
              <w:right w:val="single" w:sz="4" w:space="0" w:color="000000"/>
            </w:tcBorders>
          </w:tcPr>
          <w:p>
            <w:pPr>
              <w:pStyle w:val="Style29"/>
              <w:widowControl w:val="false"/>
              <w:spacing w:before="0" w:after="0"/>
              <w:contextualSpacing/>
              <w:jc w:val="center"/>
              <w:rPr/>
            </w:pPr>
            <w:r>
              <w:rPr>
                <w:rStyle w:val="Strong"/>
                <w:color w:val="000000"/>
                <w:sz w:val="28"/>
                <w:szCs w:val="28"/>
              </w:rPr>
              <w:t>Нікопольський міськрайонний</w:t>
            </w:r>
            <w:r>
              <w:rPr>
                <w:b/>
                <w:color w:val="000000"/>
                <w:sz w:val="28"/>
                <w:szCs w:val="28"/>
              </w:rPr>
              <w:t xml:space="preserve"> відділ державної реєстрації актів цивільного стану Південно-Східного міжрегіонального управління Міністерства юстиції (м. Дніпро)</w:t>
            </w:r>
          </w:p>
          <w:p>
            <w:pPr>
              <w:pStyle w:val="Normal"/>
              <w:widowControl w:val="false"/>
              <w:jc w:val="center"/>
              <w:rPr>
                <w:sz w:val="22"/>
                <w:szCs w:val="22"/>
                <w:lang w:eastAsia="uk-UA"/>
              </w:rPr>
            </w:pPr>
            <w:r>
              <w:rPr>
                <w:sz w:val="22"/>
                <w:szCs w:val="22"/>
                <w:lang w:eastAsia="uk-UA"/>
              </w:rPr>
              <w:t>(найменування послуги)</w:t>
            </w:r>
          </w:p>
        </w:tc>
      </w:tr>
      <w:tr>
        <w:trPr>
          <w:trHeight w:val="310" w:hRule="atLeast"/>
        </w:trPr>
        <w:tc>
          <w:tcPr>
            <w:tcW w:w="625" w:type="dxa"/>
            <w:tcBorders>
              <w:top w:val="single" w:sz="4" w:space="0" w:color="000000"/>
              <w:left w:val="single" w:sz="4" w:space="0" w:color="000000"/>
              <w:bottom w:val="single" w:sz="4" w:space="0" w:color="000000"/>
            </w:tcBorders>
          </w:tcPr>
          <w:p>
            <w:pPr>
              <w:pStyle w:val="Style29"/>
              <w:widowControl w:val="false"/>
              <w:spacing w:before="0" w:after="0"/>
              <w:ind w:left="0" w:right="0" w:hanging="0"/>
              <w:contextualSpacing/>
              <w:jc w:val="both"/>
              <w:rPr>
                <w:sz w:val="21"/>
                <w:szCs w:val="21"/>
              </w:rPr>
            </w:pPr>
            <w:r>
              <w:rPr>
                <w:sz w:val="21"/>
                <w:szCs w:val="21"/>
              </w:rPr>
              <w:t>155</w:t>
            </w:r>
          </w:p>
        </w:tc>
        <w:tc>
          <w:tcPr>
            <w:tcW w:w="8516" w:type="dxa"/>
            <w:tcBorders>
              <w:top w:val="single" w:sz="4" w:space="0" w:color="000000"/>
              <w:bottom w:val="single" w:sz="4" w:space="0" w:color="000000"/>
              <w:right w:val="single" w:sz="4" w:space="0" w:color="000000"/>
            </w:tcBorders>
          </w:tcPr>
          <w:p>
            <w:pPr>
              <w:pStyle w:val="Style29"/>
              <w:widowControl w:val="false"/>
              <w:spacing w:before="0" w:after="0"/>
              <w:ind w:left="0" w:right="0" w:hanging="0"/>
              <w:contextualSpacing/>
              <w:jc w:val="both"/>
              <w:rPr/>
            </w:pPr>
            <w:r>
              <w:rPr>
                <w:color w:val="000000"/>
                <w:sz w:val="22"/>
                <w:szCs w:val="22"/>
                <w:lang w:val="ru-RU"/>
              </w:rPr>
              <w:t> </w:t>
            </w:r>
            <w:r>
              <w:rPr>
                <w:color w:val="000000"/>
                <w:sz w:val="22"/>
                <w:szCs w:val="22"/>
              </w:rPr>
              <w:t xml:space="preserve">Державна реєстрація народження </w:t>
            </w:r>
            <w:r>
              <w:rPr>
                <w:sz w:val="22"/>
                <w:szCs w:val="22"/>
              </w:rPr>
              <w:t>дитини та її походження (у тому числі, як складова комплексної послуги «єМалятко»)</w:t>
            </w:r>
          </w:p>
        </w:tc>
      </w:tr>
      <w:tr>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rPr>
            </w:pPr>
            <w:r>
              <w:rPr>
                <w:b/>
                <w:sz w:val="28"/>
                <w:szCs w:val="28"/>
              </w:rPr>
              <w:t>Нікопольське районне управління Головного управління Державної служби України з надзвичайних ситуацій у Дніпропетровській області</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156</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Реєстрація декларації відповідності матеріально-технічної бази суб'єкта господарювання вимогам законодавства з питань пожежної безпеки</w:t>
            </w:r>
          </w:p>
        </w:tc>
      </w:tr>
      <w:tr>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b/>
                <w:b/>
                <w:sz w:val="21"/>
                <w:szCs w:val="21"/>
              </w:rPr>
            </w:pPr>
            <w:r>
              <w:rPr>
                <w:b/>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b/>
                <w:b/>
                <w:sz w:val="28"/>
                <w:szCs w:val="28"/>
              </w:rPr>
            </w:pPr>
            <w:r>
              <w:rPr>
                <w:b/>
                <w:sz w:val="28"/>
                <w:szCs w:val="28"/>
              </w:rPr>
              <w:t>Полк патрульної поліції в м. Кривий Ріг управління патрульної поліції в Дніпропетровській області Департамент патрульної поліції</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Normal"/>
              <w:widowControl w:val="false"/>
              <w:jc w:val="both"/>
              <w:rPr>
                <w:sz w:val="21"/>
                <w:szCs w:val="21"/>
              </w:rPr>
            </w:pPr>
            <w:r>
              <w:rPr>
                <w:sz w:val="21"/>
                <w:szCs w:val="21"/>
              </w:rPr>
              <w:t>157</w:t>
            </w:r>
          </w:p>
        </w:tc>
        <w:tc>
          <w:tcPr>
            <w:tcW w:w="8516" w:type="dxa"/>
            <w:tcBorders>
              <w:top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Дозвіл на участь у дорожньому русі транспортних засобів, вагові або габаритні параметри яких перевищують нормативні</w:t>
            </w:r>
          </w:p>
        </w:tc>
      </w:tr>
      <w:tr>
        <w:trPr/>
        <w:tc>
          <w:tcPr>
            <w:tcW w:w="625" w:type="dxa"/>
            <w:tcBorders>
              <w:top w:val="single" w:sz="4" w:space="0" w:color="000000"/>
              <w:left w:val="single" w:sz="4" w:space="0" w:color="000000"/>
              <w:bottom w:val="single" w:sz="4" w:space="0" w:color="000000"/>
            </w:tcBorders>
          </w:tcPr>
          <w:p>
            <w:pPr>
              <w:pStyle w:val="Normal"/>
              <w:widowControl w:val="false"/>
              <w:jc w:val="both"/>
              <w:rPr>
                <w:sz w:val="21"/>
                <w:szCs w:val="21"/>
              </w:rPr>
            </w:pPr>
            <w:r>
              <w:rPr>
                <w:sz w:val="21"/>
                <w:szCs w:val="21"/>
              </w:rPr>
              <w:t>158</w:t>
            </w:r>
          </w:p>
        </w:tc>
        <w:tc>
          <w:tcPr>
            <w:tcW w:w="8516" w:type="dxa"/>
            <w:tcBorders>
              <w:top w:val="single" w:sz="4" w:space="0" w:color="000000"/>
              <w:bottom w:val="single" w:sz="4" w:space="0" w:color="000000"/>
              <w:right w:val="single" w:sz="4" w:space="0" w:color="000000"/>
            </w:tcBorders>
          </w:tcPr>
          <w:p>
            <w:pPr>
              <w:pStyle w:val="Normal"/>
              <w:widowControl w:val="false"/>
              <w:jc w:val="both"/>
              <w:rPr/>
            </w:pPr>
            <w:r>
              <w:rPr>
                <w:sz w:val="22"/>
                <w:szCs w:val="22"/>
                <w:lang w:val="ru-RU"/>
              </w:rPr>
              <w:t> </w:t>
            </w:r>
            <w:r>
              <w:rPr>
                <w:sz w:val="22"/>
                <w:szCs w:val="22"/>
              </w:rPr>
              <w:t>Погодження маршруту руху транспортних засобів під час дорожнього перевезення небезпечних вантажів</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napToGrid w:val="false"/>
              <w:spacing w:before="0" w:after="0"/>
              <w:jc w:val="center"/>
              <w:rPr>
                <w:b/>
                <w:b/>
                <w:bCs/>
                <w:color w:val="000000"/>
                <w:sz w:val="21"/>
                <w:szCs w:val="21"/>
                <w:shd w:fill="FFFFFF" w:val="clear"/>
              </w:rPr>
            </w:pPr>
            <w:r>
              <w:rPr>
                <w:b/>
                <w:bCs/>
                <w:color w:val="000000"/>
                <w:sz w:val="21"/>
                <w:szCs w:val="21"/>
                <w:shd w:fill="FFFFFF" w:val="clear"/>
              </w:rPr>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center"/>
              <w:rPr>
                <w:b/>
                <w:b/>
                <w:bCs/>
                <w:color w:val="000000"/>
                <w:sz w:val="28"/>
                <w:szCs w:val="28"/>
                <w:shd w:fill="FFFFFF" w:val="clear"/>
              </w:rPr>
            </w:pPr>
            <w:r>
              <w:rPr>
                <w:b/>
                <w:bCs/>
                <w:color w:val="000000"/>
                <w:sz w:val="28"/>
                <w:szCs w:val="28"/>
                <w:shd w:fill="FFFFFF" w:val="clear"/>
              </w:rPr>
              <w:t>Головне територіальне управління юстиції у Дніпропетровській області</w:t>
            </w:r>
          </w:p>
          <w:p>
            <w:pPr>
              <w:pStyle w:val="Style30"/>
              <w:widowControl w:val="false"/>
              <w:shd w:val="clear" w:fill="FFFFFF"/>
              <w:spacing w:before="0" w:after="0"/>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bCs/>
                <w:color w:val="000000"/>
                <w:sz w:val="21"/>
                <w:szCs w:val="21"/>
                <w:shd w:fill="FFFFFF" w:val="clear"/>
              </w:rPr>
            </w:pPr>
            <w:r>
              <w:rPr>
                <w:bCs/>
                <w:color w:val="000000"/>
                <w:sz w:val="21"/>
                <w:szCs w:val="21"/>
                <w:shd w:fill="FFFFFF" w:val="clear"/>
              </w:rPr>
              <w:t>159</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rPr>
              <w:t> </w:t>
            </w:r>
            <w:r>
              <w:rPr>
                <w:bCs/>
                <w:color w:val="000000"/>
                <w:sz w:val="22"/>
                <w:szCs w:val="22"/>
                <w:shd w:fill="FFFFFF" w:val="clear"/>
              </w:rPr>
              <w:t>Державна реєстрація створення громадського об’єднання.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160</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Державна реєстрація змін до відомостей про громадське об’єднання, що містяться в Єдиному державному реєстрі юридичних осіб, фізичних осіб та громадських формувань, у тому числі змін до установчих документів.</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161</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Державна реєстрація рішення про припинення громадського об’єднання.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162</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Державна реєстрація рішення про відміну рішення про припинення громадського об’єднання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163</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Державна реєстрація зміни складу комісії з припинення (комісії з реорганізації, ліквідаційної комісії) громадського об’єднання</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bCs/>
                <w:color w:val="000000"/>
                <w:sz w:val="21"/>
                <w:szCs w:val="21"/>
                <w:shd w:fill="FFFFFF" w:val="clear"/>
              </w:rPr>
            </w:pPr>
            <w:r>
              <w:rPr>
                <w:bCs/>
                <w:color w:val="000000"/>
                <w:sz w:val="21"/>
                <w:szCs w:val="21"/>
                <w:shd w:fill="FFFFFF" w:val="clear"/>
              </w:rPr>
              <w:t>164</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bCs/>
                <w:color w:val="000000"/>
                <w:sz w:val="22"/>
                <w:szCs w:val="22"/>
                <w:shd w:fill="FFFFFF" w:val="clear"/>
              </w:rPr>
            </w:pPr>
            <w:r>
              <w:rPr>
                <w:bCs/>
                <w:color w:val="000000"/>
                <w:sz w:val="22"/>
                <w:szCs w:val="22"/>
                <w:shd w:fill="FFFFFF" w:val="clear"/>
              </w:rPr>
              <w:t>Державна реєстрація припинення громадського об’єднання в результаті його ліквідації.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165</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bCs/>
                <w:color w:val="000000"/>
                <w:sz w:val="22"/>
                <w:szCs w:val="22"/>
                <w:shd w:fill="FFFFFF" w:val="clear"/>
                <w:lang w:val="ru-RU"/>
              </w:rPr>
              <w:t> </w:t>
            </w:r>
            <w:r>
              <w:rPr>
                <w:bCs/>
                <w:color w:val="000000"/>
                <w:sz w:val="22"/>
                <w:szCs w:val="22"/>
                <w:shd w:fill="FFFFFF" w:val="clear"/>
              </w:rPr>
              <w:t>Державна реєстрація припинення громадського об’єднання в результаті його реорганізації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166</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припинення структурного утворення політичної партії, що не має статусу юридичної особи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167</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змін до відомостей про структурне утворення політичної партії, що не має статусу юридичної особи, що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168</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структурного утворення політичної партії, що не має статусу юридичної особи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169</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припинення громадського об'єднання, що не має статусу юридичної особи</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170</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змін до відомостей про громадське об’єднання, що не має статусу юридичної особи, що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171</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громадського об’єднання, що не має статусу юридичної особи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172</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припинення структурного утворення політичної партії в результаті його реорганізації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173</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припинення структурного утворення політичної партії в результаті його ліквідації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174</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зміни складу комісії з припинення (комісії з реорганізації, ліквідаційної комісії) структурного утворення політичної партії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175</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рішення про припинення структурного утворення політичної партії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176</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177</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створення структурного утворення політичної партії</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178</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включення відомостей про структурне утворення політичної партії,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179</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припинення відокремленого підрозділу громадського об'єднання</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180</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внесення змін до відомостей про відокремлений підрозділ громадського об'єднання</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181</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створення відокремленого підрозділу громадського об'єднання</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 xml:space="preserve">Державна реєстрація зміни складу комісії з припинення (комісії з реорганізації, ліквідаційної комісії) громадського об'єднання </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183</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рішення про виділ громадського об'єднання</w:t>
            </w:r>
          </w:p>
          <w:p>
            <w:pPr>
              <w:pStyle w:val="Style30"/>
              <w:widowControl w:val="false"/>
              <w:shd w:val="clear" w:fill="FFFFFF"/>
              <w:spacing w:before="0" w:after="0"/>
              <w:jc w:val="both"/>
              <w:rPr>
                <w:bCs/>
                <w:color w:val="000000"/>
                <w:sz w:val="22"/>
                <w:szCs w:val="22"/>
                <w:shd w:fill="FFFFFF" w:val="clear"/>
              </w:rPr>
            </w:pPr>
            <w:r>
              <w:rPr>
                <w:bCs/>
                <w:color w:val="000000"/>
                <w:sz w:val="22"/>
                <w:szCs w:val="22"/>
                <w:shd w:fill="FFFFFF" w:val="clear"/>
              </w:rPr>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184</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включення відомостей про громадське об'єднання, зареєстроване до 01 липня 2004 року, відомості про яке не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185</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припинення організації роботодавців, об’єднання організацій роботодавців в результаті реорганізації</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186</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припинення організації роботодавців, об’єднання організацій роботодавців в результаті ліквідації</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187</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зміни складу комісії з припинення (комісії з реорганізації, ліквідаційної комісії) організації роботодавців, об’ єднання організацій роботодавців</w:t>
            </w:r>
          </w:p>
          <w:p>
            <w:pPr>
              <w:pStyle w:val="Normal"/>
              <w:widowControl w:val="false"/>
              <w:rPr>
                <w:sz w:val="22"/>
                <w:szCs w:val="22"/>
              </w:rPr>
            </w:pPr>
            <w:r>
              <w:rPr>
                <w:sz w:val="22"/>
                <w:szCs w:val="22"/>
              </w:rPr>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188</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рішення про припинення організації роботодавців, об’єднання організацій роботодавців</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189</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190</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створення організації роботодавців, об’єднання організацій роботодавців</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191</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включення відомостей про організацію роботодавців, об’єднання організацій роботодавців,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192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припинення професійної спілки, організації професійних спілок, об’єднання професійних спілок в результаті реорганізації</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193</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val="ru-RU"/>
              </w:rPr>
              <w:t> </w:t>
            </w:r>
            <w:r>
              <w:rPr>
                <w:sz w:val="22"/>
                <w:szCs w:val="22"/>
              </w:rPr>
              <w:t>Державна реєстрація припинення професійної спілки, організації професійних спілок, об’єднання професійних спілок</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194</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195</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рішення про припинення професійної спілки, організації професійних спілок, об’єднання професійних спілок</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196</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pPr>
            <w:r>
              <w:rPr>
                <w:sz w:val="22"/>
                <w:szCs w:val="22"/>
                <w:lang w:val="ru-RU"/>
              </w:rPr>
              <w:t> </w:t>
            </w:r>
            <w:r>
              <w:rPr>
                <w:sz w:val="22"/>
                <w:szCs w:val="22"/>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197</w:t>
            </w:r>
          </w:p>
        </w:tc>
        <w:tc>
          <w:tcPr>
            <w:tcW w:w="8516"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створення професійної спілки, організації професійних спілок, об’єднання професійних спілок</w:t>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198</w:t>
            </w:r>
          </w:p>
        </w:tc>
        <w:tc>
          <w:tcPr>
            <w:tcW w:w="8516" w:type="dxa"/>
            <w:tcBorders>
              <w:top w:val="single" w:sz="4" w:space="0" w:color="000000"/>
              <w:left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включення відомостей про професійну спілку, об’єднання професійних спілок, організацію професійних спілок, зареєстровані до 01 липня 2004 року, відомості про які не містяться в Єдиному державному реєстрі юридичних осіб, фізичних осіб – підприємців та громадських формувань</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199</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створення статуту територіальної громади</w:t>
            </w:r>
          </w:p>
          <w:p>
            <w:pPr>
              <w:pStyle w:val="Normal"/>
              <w:widowControl w:val="false"/>
              <w:rPr>
                <w:sz w:val="22"/>
                <w:szCs w:val="22"/>
              </w:rPr>
            </w:pPr>
            <w:r>
              <w:rPr>
                <w:sz w:val="22"/>
                <w:szCs w:val="22"/>
              </w:rPr>
            </w:r>
          </w:p>
        </w:tc>
      </w:tr>
      <w:tr>
        <w:trPr/>
        <w:tc>
          <w:tcPr>
            <w:tcW w:w="625" w:type="dxa"/>
            <w:tcBorders>
              <w:top w:val="single" w:sz="4" w:space="0" w:color="000000"/>
              <w:left w:val="single" w:sz="4" w:space="0" w:color="000000"/>
              <w:bottom w:val="single" w:sz="4" w:space="0" w:color="000000"/>
            </w:tcBorders>
          </w:tcPr>
          <w:p>
            <w:pPr>
              <w:pStyle w:val="Style30"/>
              <w:widowControl w:val="false"/>
              <w:shd w:val="clear" w:fill="FFFFFF"/>
              <w:spacing w:before="0" w:after="0"/>
              <w:jc w:val="both"/>
              <w:rPr>
                <w:sz w:val="21"/>
                <w:szCs w:val="21"/>
              </w:rPr>
            </w:pPr>
            <w:r>
              <w:rPr>
                <w:sz w:val="21"/>
                <w:szCs w:val="21"/>
              </w:rPr>
              <w:t>200</w:t>
            </w:r>
          </w:p>
        </w:tc>
        <w:tc>
          <w:tcPr>
            <w:tcW w:w="8516" w:type="dxa"/>
            <w:tcBorders>
              <w:top w:val="single" w:sz="4" w:space="0" w:color="000000"/>
              <w:bottom w:val="single" w:sz="4" w:space="0" w:color="000000"/>
              <w:right w:val="single" w:sz="4" w:space="0" w:color="000000"/>
            </w:tcBorders>
          </w:tcPr>
          <w:p>
            <w:pPr>
              <w:pStyle w:val="Style30"/>
              <w:widowControl w:val="false"/>
              <w:shd w:val="clear" w:fill="FFFFFF"/>
              <w:spacing w:before="0" w:after="0"/>
              <w:jc w:val="both"/>
              <w:rPr>
                <w:sz w:val="22"/>
                <w:szCs w:val="22"/>
              </w:rPr>
            </w:pPr>
            <w:r>
              <w:rPr>
                <w:sz w:val="22"/>
                <w:szCs w:val="22"/>
              </w:rPr>
              <w:t>Державна реєстрація скасування статуту територіальної громади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201</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зміни до статуту територіальної громади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rPr>
            </w:pPr>
            <w:r>
              <w:rPr>
                <w:sz w:val="21"/>
                <w:szCs w:val="21"/>
              </w:rPr>
              <w:t>202</w:t>
            </w:r>
          </w:p>
        </w:tc>
        <w:tc>
          <w:tcPr>
            <w:tcW w:w="8516" w:type="dxa"/>
            <w:tcBorders>
              <w:top w:val="single" w:sz="4" w:space="0" w:color="000000"/>
              <w:bottom w:val="single" w:sz="4" w:space="0" w:color="000000"/>
              <w:right w:val="single" w:sz="4" w:space="0" w:color="000000"/>
            </w:tcBorders>
          </w:tcPr>
          <w:p>
            <w:pPr>
              <w:pStyle w:val="Normal"/>
              <w:widowControl w:val="false"/>
              <w:rPr>
                <w:sz w:val="22"/>
                <w:szCs w:val="22"/>
              </w:rPr>
            </w:pPr>
            <w:r>
              <w:rPr>
                <w:sz w:val="22"/>
                <w:szCs w:val="22"/>
              </w:rPr>
              <w:t>Державна реєстрація видачі дублікату свідоцтва про реєстрацію статуту територіальної громади</w:t>
            </w:r>
          </w:p>
        </w:tc>
      </w:tr>
      <w:tr>
        <w:trPr/>
        <w:tc>
          <w:tcPr>
            <w:tcW w:w="625" w:type="dxa"/>
            <w:tcBorders>
              <w:top w:val="single" w:sz="4" w:space="0" w:color="000000"/>
              <w:left w:val="single" w:sz="4" w:space="0" w:color="000000"/>
              <w:bottom w:val="single" w:sz="4" w:space="0" w:color="000000"/>
            </w:tcBorders>
          </w:tcPr>
          <w:p>
            <w:pPr>
              <w:pStyle w:val="Normal"/>
              <w:widowControl w:val="false"/>
              <w:snapToGrid w:val="false"/>
              <w:jc w:val="center"/>
              <w:rPr>
                <w:sz w:val="21"/>
                <w:szCs w:val="21"/>
              </w:rPr>
            </w:pPr>
            <w:r>
              <w:rPr>
                <w:sz w:val="21"/>
                <w:szCs w:val="21"/>
              </w:rPr>
            </w:r>
          </w:p>
        </w:tc>
        <w:tc>
          <w:tcPr>
            <w:tcW w:w="8516" w:type="dxa"/>
            <w:tcBorders>
              <w:top w:val="single" w:sz="4" w:space="0" w:color="000000"/>
              <w:bottom w:val="single" w:sz="4" w:space="0" w:color="000000"/>
              <w:right w:val="single" w:sz="4" w:space="0" w:color="000000"/>
            </w:tcBorders>
          </w:tcPr>
          <w:p>
            <w:pPr>
              <w:pStyle w:val="Normal"/>
              <w:widowControl w:val="false"/>
              <w:jc w:val="center"/>
              <w:rPr/>
            </w:pPr>
            <w:r>
              <w:rPr>
                <w:b/>
                <w:sz w:val="28"/>
                <w:szCs w:val="28"/>
                <w:lang w:val="ru-RU" w:eastAsia="uk-UA"/>
              </w:rPr>
              <w:t>Комплексн</w:t>
            </w:r>
            <w:r>
              <w:rPr>
                <w:b/>
                <w:sz w:val="28"/>
                <w:szCs w:val="28"/>
                <w:lang w:eastAsia="uk-UA"/>
              </w:rPr>
              <w:t>і послуги</w:t>
            </w:r>
          </w:p>
          <w:p>
            <w:pPr>
              <w:pStyle w:val="Normal"/>
              <w:widowControl w:val="false"/>
              <w:jc w:val="center"/>
              <w:rPr>
                <w:sz w:val="22"/>
                <w:szCs w:val="22"/>
                <w:lang w:eastAsia="uk-UA"/>
              </w:rPr>
            </w:pPr>
            <w:r>
              <w:rPr>
                <w:sz w:val="22"/>
                <w:szCs w:val="22"/>
                <w:lang w:eastAsia="uk-UA"/>
              </w:rPr>
              <w:t>(найменування послуги)</w:t>
            </w:r>
          </w:p>
        </w:tc>
      </w:tr>
      <w:tr>
        <w:trPr/>
        <w:tc>
          <w:tcPr>
            <w:tcW w:w="625" w:type="dxa"/>
            <w:tcBorders>
              <w:top w:val="single" w:sz="4" w:space="0" w:color="000000"/>
              <w:left w:val="single" w:sz="4" w:space="0" w:color="000000"/>
              <w:bottom w:val="single" w:sz="4" w:space="0" w:color="000000"/>
            </w:tcBorders>
          </w:tcPr>
          <w:p>
            <w:pPr>
              <w:pStyle w:val="Normal"/>
              <w:widowControl w:val="false"/>
              <w:rPr>
                <w:sz w:val="21"/>
                <w:szCs w:val="21"/>
                <w:lang w:eastAsia="uk-UA"/>
              </w:rPr>
            </w:pPr>
            <w:r>
              <w:rPr>
                <w:sz w:val="21"/>
                <w:szCs w:val="21"/>
                <w:lang w:eastAsia="uk-UA"/>
              </w:rPr>
              <w:t>203</w:t>
            </w:r>
          </w:p>
        </w:tc>
        <w:tc>
          <w:tcPr>
            <w:tcW w:w="8516" w:type="dxa"/>
            <w:tcBorders>
              <w:top w:val="single" w:sz="4" w:space="0" w:color="000000"/>
              <w:bottom w:val="single" w:sz="4" w:space="0" w:color="000000"/>
              <w:right w:val="single" w:sz="4" w:space="0" w:color="000000"/>
            </w:tcBorders>
          </w:tcPr>
          <w:p>
            <w:pPr>
              <w:pStyle w:val="Normal"/>
              <w:widowControl w:val="false"/>
              <w:rPr/>
            </w:pPr>
            <w:r>
              <w:rPr>
                <w:sz w:val="22"/>
                <w:szCs w:val="22"/>
                <w:lang w:eastAsia="uk-UA"/>
              </w:rPr>
              <w:t xml:space="preserve">                       </w:t>
            </w:r>
            <w:r>
              <w:rPr>
                <w:sz w:val="22"/>
                <w:szCs w:val="22"/>
                <w:lang w:eastAsia="uk-UA"/>
              </w:rPr>
              <w:t>Комплексна послуга «єМалятко»</w:t>
            </w:r>
          </w:p>
        </w:tc>
      </w:tr>
    </w:tbl>
    <w:p>
      <w:pPr>
        <w:pStyle w:val="Normal"/>
        <w:tabs>
          <w:tab w:val="clear" w:pos="708"/>
          <w:tab w:val="left" w:pos="7020" w:leader="none"/>
        </w:tabs>
        <w:jc w:val="both"/>
        <w:rPr/>
      </w:pPr>
      <w:r>
        <w:rPr/>
      </w:r>
    </w:p>
    <w:tbl>
      <w:tblPr>
        <w:tblW w:w="9188" w:type="dxa"/>
        <w:jc w:val="left"/>
        <w:tblInd w:w="185" w:type="dxa"/>
        <w:tblLayout w:type="fixed"/>
        <w:tblCellMar>
          <w:top w:w="0" w:type="dxa"/>
          <w:left w:w="108" w:type="dxa"/>
          <w:bottom w:w="0" w:type="dxa"/>
          <w:right w:w="108" w:type="dxa"/>
        </w:tblCellMar>
      </w:tblPr>
      <w:tblGrid>
        <w:gridCol w:w="623"/>
        <w:gridCol w:w="8500"/>
        <w:gridCol w:w="65"/>
      </w:tblGrid>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snapToGrid w:val="false"/>
              <w:ind w:left="0" w:right="0" w:hanging="0"/>
              <w:jc w:val="left"/>
              <w:rPr>
                <w:sz w:val="21"/>
                <w:szCs w:val="21"/>
              </w:rPr>
            </w:pPr>
            <w:r>
              <w:rPr>
                <w:sz w:val="21"/>
                <w:szCs w:val="21"/>
              </w:rPr>
            </w:r>
          </w:p>
        </w:tc>
        <w:tc>
          <w:tcPr>
            <w:tcW w:w="8500" w:type="dxa"/>
            <w:tcBorders>
              <w:top w:val="single" w:sz="4" w:space="0" w:color="000000"/>
              <w:left w:val="single" w:sz="4" w:space="0" w:color="000000"/>
              <w:bottom w:val="single" w:sz="4" w:space="0" w:color="000000"/>
              <w:right w:val="single" w:sz="4" w:space="0" w:color="000000"/>
            </w:tcBorders>
          </w:tcPr>
          <w:p>
            <w:pPr>
              <w:pStyle w:val="Rvps14"/>
              <w:widowControl w:val="false"/>
              <w:spacing w:lineRule="auto" w:line="276" w:before="0" w:after="0"/>
              <w:ind w:left="0" w:right="0" w:hanging="0"/>
              <w:jc w:val="center"/>
              <w:rPr/>
            </w:pPr>
            <w:r>
              <w:rPr/>
              <w:t xml:space="preserve">       </w:t>
            </w:r>
            <w:r>
              <w:rPr>
                <w:b/>
                <w:bCs/>
              </w:rPr>
              <w:t>Комплексна послуга “Я - Ветеран”</w:t>
            </w:r>
            <w:r>
              <w:rPr>
                <w:b/>
                <w:bCs/>
                <w:lang w:val="uk-UA"/>
              </w:rPr>
              <w:t>*</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76"/>
              <w:jc w:val="center"/>
              <w:rPr/>
            </w:pPr>
            <w:r>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b/>
                <w:b/>
                <w:bCs/>
                <w:sz w:val="21"/>
                <w:szCs w:val="21"/>
              </w:rPr>
            </w:pPr>
            <w:r>
              <w:rPr>
                <w:b/>
                <w:bCs/>
                <w:sz w:val="21"/>
                <w:szCs w:val="21"/>
              </w:rPr>
              <w:t>Психологічна підтримка</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204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4"/>
                <w:szCs w:val="24"/>
              </w:rPr>
            </w:pPr>
            <w:r>
              <w:rPr>
                <w:color w:val="000000"/>
                <w:sz w:val="24"/>
                <w:szCs w:val="24"/>
              </w:rPr>
              <w:t>Супровід і лікування дорослих та дітей з психічними розладами на первинному рівні медичної допомоги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4"/>
                <w:szCs w:val="24"/>
              </w:rPr>
            </w:pPr>
            <w:r>
              <w:rPr>
                <w:sz w:val="24"/>
                <w:szCs w:val="24"/>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205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Прийняття рішення щодо включення установи, організації, закладу, фізичної особи - підприємця до переліку суб’єктів надання послуг із психологічної реабілітації</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uk-UA"/>
              </w:rPr>
            </w:pPr>
            <w:r>
              <w:rPr>
                <w:color w:val="000000"/>
                <w:sz w:val="22"/>
                <w:szCs w:val="22"/>
                <w:lang w:val="uk-UA"/>
              </w:rPr>
              <w:t>Постанова Кабінету Міністрів України від 27 грудня 2017 р. № 1057 "Про затвердження Порядку проведення психологічної реабілітації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їх сімей та членів сімей загиблих (померлих) таких осіб"</w:t>
            </w:r>
          </w:p>
          <w:p>
            <w:pPr>
              <w:pStyle w:val="Normal"/>
              <w:widowControl w:val="false"/>
              <w:rPr/>
            </w:pPr>
            <w:r>
              <w:rPr>
                <w:color w:val="000000"/>
                <w:sz w:val="22"/>
                <w:szCs w:val="22"/>
              </w:rPr>
              <w:t xml:space="preserve">Постанова Кабінету Міністрів України від 10 </w:t>
            </w:r>
            <w:r>
              <w:rPr>
                <w:sz w:val="22"/>
                <w:szCs w:val="22"/>
              </w:rPr>
              <w:t>травня 2022 р. № 587 "Про внесення змін до порядків, затверджених постановами Кабінету Міністрів України від 12 липня 2017 р. № 497 і від 27 грудня 2017 р. № 1057"</w:t>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Працевлаштування та розвиток бізнесу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206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Надання мікрогрантів на створення або розвиток власного бізнесу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Постанова КМУ від 21 червня 2022 р. № 738 "Деякі питання надання грантів бізнесу",</w:t>
            </w:r>
          </w:p>
          <w:p>
            <w:pPr>
              <w:pStyle w:val="Normal"/>
              <w:widowControl w:val="false"/>
              <w:rPr>
                <w:color w:val="000000"/>
                <w:sz w:val="22"/>
                <w:szCs w:val="22"/>
              </w:rPr>
            </w:pPr>
            <w:r>
              <w:rPr>
                <w:color w:val="000000"/>
                <w:sz w:val="22"/>
                <w:szCs w:val="22"/>
              </w:rPr>
              <w:t>Наказ Мінекономіки від 06.07.2022  № 1969, зареєстрований в Міністерстві юстиції України 08 липня 2022 р. за № 751/38087</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207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Набуття статусу безробітного</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208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Позбавленя статусу безробітного</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209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Інформування щодо єдиного порталу вакансій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Консультування щодо механізму реєстрації на веб-сайті державної служби зайнятості</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Конкурсна програма “Варто”.</w:t>
            </w:r>
          </w:p>
          <w:p>
            <w:pPr>
              <w:pStyle w:val="Normal"/>
              <w:widowControl w:val="false"/>
              <w:ind w:left="0" w:right="0" w:hanging="0"/>
              <w:rPr>
                <w:color w:val="000000"/>
                <w:sz w:val="22"/>
                <w:szCs w:val="22"/>
                <w:lang w:val="uk-UA"/>
              </w:rPr>
            </w:pPr>
            <w:r>
              <w:rPr>
                <w:color w:val="000000"/>
                <w:sz w:val="22"/>
                <w:szCs w:val="22"/>
                <w:lang w:val="uk-UA"/>
              </w:rPr>
              <w:t>Надання фінансової підтримки на реалізацію проєктів для підприємницької діяльності ветеранів, членів сімей загиблих (померлих) ветеранів війни та членів сімей загиблих (померлих) захисників та захисниць України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Надання відшкодування витрат для створення умов з інтеграції ветеранів та членів їх сімей, зокрема таких, що були евакуйовані, за новим місцем проживання в Україні шляхом надання одноразової фінансової допомоги у створенні належних умов для ведення підприємницької або незалежної професійної діяльності</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Працевлаштування осіб, які тимчасово перемістилися в місто Дніпро/ мешканців Дніпра, які втратили роботу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Інформація про наявність вільних вакансій (потреби в кваліфікованих працівниках, посадах) для працевлаштування безробітних та осіб, які шукають роботу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sz w:val="22"/>
                <w:szCs w:val="22"/>
              </w:rPr>
            </w:pPr>
            <w:r>
              <w:rPr>
                <w:rFonts w:cs="Times New Roman"/>
                <w:sz w:val="22"/>
                <w:szCs w:val="22"/>
              </w:rPr>
              <w:t>Набуття статусу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Встановлення статусу, видача посвідчень / довідок, продовження строку дії посвідчень (вклеювання бланка-вкладки) членам сім’ї загиблого (померлого) ветерана війни та членам сім’ї загиблого (померлого) Захисника чи Захисниці України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10, стаття 10-1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Порядок надання статусу члена сім’ї загиблого (померлого) Захисника чи Захисниці України, затверджений постановою Кабінету Міністрів України від 23.09.2015 № 740;</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Кабінету Міністрів України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Встановлення статусу,видача посвідчень, продовження строку дії посвідчень (вклеювання бланка-вкладки) особам з інвалідністю внаслідок війни</w:t>
            </w:r>
          </w:p>
          <w:p>
            <w:pPr>
              <w:pStyle w:val="Normal"/>
              <w:widowControl w:val="false"/>
              <w:suppressAutoHyphens w:val="true"/>
              <w:ind w:left="0" w:right="0" w:hanging="0"/>
              <w:rPr>
                <w:sz w:val="22"/>
                <w:szCs w:val="22"/>
                <w:lang w:val="uk-UA"/>
              </w:rPr>
            </w:pPr>
            <w:r>
              <w:rPr>
                <w:sz w:val="22"/>
                <w:szCs w:val="22"/>
                <w:lang w:val="uk-UA"/>
              </w:rPr>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7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Порядок надання статусу особи з інвалідністю внаслідок війни особам, які отримали інвалідність внаслідок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затверджений постановою Кабінету Міністрів України від 08.09.2015 № 685;</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Кабінету Міністрів України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Встановлення статусу, видача посвідчень постраждалим учасникам Революції Гідності</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16-1(!)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Порядок надання статусу постраждалого учасника Революції Гідності, затверджений постановою КМУ від 28.02.2018 № 119</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Встановлення статусу, видача посвідчень учасникам війни</w:t>
            </w:r>
          </w:p>
          <w:p>
            <w:pPr>
              <w:pStyle w:val="Normal"/>
              <w:widowControl w:val="false"/>
              <w:suppressAutoHyphens w:val="true"/>
              <w:ind w:left="0" w:right="0" w:hanging="0"/>
              <w:rPr>
                <w:sz w:val="22"/>
                <w:szCs w:val="22"/>
              </w:rPr>
            </w:pPr>
            <w:r>
              <w:rPr>
                <w:sz w:val="22"/>
                <w:szCs w:val="22"/>
              </w:rPr>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9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26.04.1996 № 458 “Про комісії для розгляду питань, пов’язаних із встановленням статусу учасника війни відповідно до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23.09.2015 № 739 “Питання надання статусу учасника війни деяким особам”;</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Кабінету Міністрів України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219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Встановлення статусу, видача посвідчень учасникам бойових дій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6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КМУ від 12.05.1994 № 302;</w:t>
            </w:r>
          </w:p>
          <w:p>
            <w:pPr>
              <w:pStyle w:val="Normal"/>
              <w:widowControl w:val="false"/>
              <w:rPr/>
            </w:pPr>
            <w:r>
              <w:rPr>
                <w:color w:val="000000"/>
                <w:sz w:val="22"/>
                <w:szCs w:val="22"/>
              </w:rPr>
              <w:t xml:space="preserve">постановою КМУ </w:t>
            </w:r>
            <w:r>
              <w:rPr>
                <w:sz w:val="22"/>
                <w:szCs w:val="22"/>
              </w:rPr>
              <w:t>від 20 серпня 2014 р. № 413</w:t>
            </w:r>
            <w:r>
              <w:rPr>
                <w:color w:val="000000"/>
                <w:sz w:val="22"/>
                <w:szCs w:val="22"/>
              </w:rPr>
              <w:t xml:space="preserve">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Позбавлення статусу особи з інвалідністю внаслідок війни, члена сім’ї загиблого (померлого) ветерана війни, члена сім’ї загиблого (померлого) Захисника чи Захисниці України та постраждалого учасника Революції Гідності за заявою особи.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uk-UA"/>
              </w:rPr>
            </w:pPr>
            <w:r>
              <w:rPr>
                <w:color w:val="000000"/>
                <w:sz w:val="22"/>
                <w:szCs w:val="22"/>
                <w:lang w:val="uk-UA"/>
              </w:rPr>
              <w:t>Порядок надання статусу особи з інвалідністю внаслідок війни особам, які отримали інвалідність внаслідок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затверджений постановою Кабінету Міністрів України від 08.09.2015 № 685;</w:t>
            </w:r>
          </w:p>
          <w:p>
            <w:pPr>
              <w:pStyle w:val="Normal"/>
              <w:widowControl w:val="false"/>
              <w:rPr>
                <w:color w:val="000000"/>
                <w:sz w:val="22"/>
                <w:szCs w:val="22"/>
              </w:rPr>
            </w:pPr>
            <w:r>
              <w:rPr>
                <w:color w:val="000000"/>
                <w:sz w:val="22"/>
                <w:szCs w:val="22"/>
              </w:rPr>
              <w:t>Порядок надання статусу члена сім’ї загиблого (померлого) Захисника чи Захисниці України, затверджений постановою Кабінету Міністрів України від 23.09.2015 № 740;</w:t>
            </w:r>
          </w:p>
          <w:p>
            <w:pPr>
              <w:pStyle w:val="Normal"/>
              <w:widowControl w:val="false"/>
              <w:rPr>
                <w:color w:val="000000"/>
                <w:sz w:val="22"/>
                <w:szCs w:val="22"/>
              </w:rPr>
            </w:pPr>
            <w:r>
              <w:rPr>
                <w:color w:val="000000"/>
                <w:sz w:val="22"/>
                <w:szCs w:val="22"/>
              </w:rPr>
              <w:t>Порядок надання статусу постраждалого учасника Революції Гідності, затверджений постановою КМУ від 28.02.2018 № 119</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Позбавлення статусу учасника бойових дій за заявою особи.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6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КМУ від 12.05.1994 № 302;</w:t>
            </w:r>
          </w:p>
          <w:p>
            <w:pPr>
              <w:pStyle w:val="Normal"/>
              <w:widowControl w:val="false"/>
              <w:rPr>
                <w:color w:val="000000"/>
                <w:sz w:val="22"/>
                <w:szCs w:val="22"/>
              </w:rPr>
            </w:pPr>
            <w:r>
              <w:rPr>
                <w:color w:val="000000"/>
                <w:sz w:val="22"/>
                <w:szCs w:val="22"/>
              </w:rPr>
              <w:t>Постанова КМУ від 20.08.2014 № 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Позбавлення статусу учасника війни за заявою особи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9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26.04.1996 № 458 “Про комісії для розгляду питань, пов’язаних із встановленням статусу учасника війни відповідно до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23.09.2015 № 739 “Питання надання статусу учасника війни деяким особам”;</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Кабінету Міністрів України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Видача нового посвідчення учасникам бойових дій замість непридатного / втраченого та у разі зміни особистих даних</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Видача нового посвідчення особам з інвалідністю внаслідок війни, учасникам війни, членам сім’ї загиблого (померлого) ветерана війни, членам сім’ї загиблого (померлого) Захисника чи Захисниці України, постраждалим учасникам Революції Гідності замість непридатного / втраченого та у разі зміни особистих даних</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sz w:val="22"/>
                <w:szCs w:val="22"/>
              </w:rPr>
              <w:t xml:space="preserve">Положення про порядок видачі посвідчень і нагрудних знаків ветеранів війни, </w:t>
            </w:r>
            <w:r>
              <w:rPr>
                <w:sz w:val="22"/>
                <w:szCs w:val="22"/>
              </w:rPr>
              <w:t>затверджене постановою Кабінету Міністрів України від 12.05.1994 № 302</w:t>
            </w:r>
          </w:p>
          <w:p>
            <w:pPr>
              <w:pStyle w:val="Normal"/>
              <w:widowControl w:val="false"/>
              <w:rPr>
                <w:sz w:val="22"/>
                <w:szCs w:val="22"/>
              </w:rPr>
            </w:pPr>
            <w:r>
              <w:rPr>
                <w:sz w:val="22"/>
                <w:szCs w:val="22"/>
              </w:rPr>
              <w:t>Порядок виготовлення та видачі посвідчення “Постраждалий учасник Революції Гідності”, затверджений постановою Кабінету Міністрів України від 28 лютого 2018 р. № 120</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pPr>
            <w:r>
              <w:rPr>
                <w:color w:val="000000"/>
                <w:sz w:val="22"/>
                <w:szCs w:val="22"/>
                <w:lang w:val="uk-UA"/>
              </w:rPr>
              <w:t xml:space="preserve">Вклеювання бланка-вкладки до посвідчення учасникам бойових дій, особам з інвалідністю внаслідок війни </w:t>
            </w:r>
            <w:r>
              <w:rPr>
                <w:color w:val="000000"/>
                <w:sz w:val="22"/>
                <w:szCs w:val="22"/>
              </w:rPr>
              <w:t>II</w:t>
            </w:r>
            <w:r>
              <w:rPr>
                <w:color w:val="000000"/>
                <w:sz w:val="22"/>
                <w:szCs w:val="22"/>
                <w:lang w:val="uk-UA"/>
              </w:rPr>
              <w:t xml:space="preserve"> і </w:t>
            </w:r>
            <w:r>
              <w:rPr>
                <w:color w:val="000000"/>
                <w:sz w:val="22"/>
                <w:szCs w:val="22"/>
              </w:rPr>
              <w:t>III</w:t>
            </w:r>
            <w:r>
              <w:rPr>
                <w:color w:val="000000"/>
                <w:sz w:val="22"/>
                <w:szCs w:val="22"/>
                <w:lang w:val="uk-UA"/>
              </w:rPr>
              <w:t xml:space="preserve"> групи з числа учасників бойових дій у період Другої світової війни, яким виповнилося 85 років і більше</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Кабінету Міністрів України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Надання відомостей з Єдиного реєстру учасників антитерористичної операції та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пункти 19-24 частини першої статті 6 Закон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пункт 11 Порядку ведення Єдиного реєстру учасників антитерористичної операції та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затверджений наказом Міністерства у справах ветеранів України 20 жовтня 2020 року № 208, зареєстрований в Міністерстві юстиції України 21 грудня 2020 р. за № 1265/35548</w:t>
            </w:r>
          </w:p>
          <w:p>
            <w:pPr>
              <w:pStyle w:val="Normal"/>
              <w:widowControl w:val="false"/>
              <w:rPr>
                <w:color w:val="000000"/>
                <w:sz w:val="22"/>
                <w:szCs w:val="22"/>
              </w:rPr>
            </w:pPr>
            <w:r>
              <w:rPr>
                <w:color w:val="000000"/>
                <w:sz w:val="22"/>
                <w:szCs w:val="22"/>
              </w:rPr>
              <w:t>пункт 2 Постанови КМУ від 20.08.2014 №413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Надання відомостей з Єдиного державного реєстру ветеранів війни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Статті 3-1 та 18 Закону України "Про статус ветеранів війни, гарантії їх соціального захисту"</w:t>
            </w:r>
          </w:p>
          <w:p>
            <w:pPr>
              <w:pStyle w:val="Normal"/>
              <w:widowControl w:val="false"/>
              <w:suppressAutoHyphens w:val="tru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Позбавлення статусу учасника бойових дій за заявою особи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229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sz w:val="22"/>
                <w:szCs w:val="22"/>
                <w:lang w:val="uk-UA"/>
              </w:rPr>
            </w:pPr>
            <w:r>
              <w:rPr>
                <w:sz w:val="22"/>
                <w:szCs w:val="22"/>
                <w:lang w:val="uk-UA"/>
              </w:rPr>
              <w:t>Встановлення факту одержання ушкоджень здоров’я від боєприпасів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w:t>
            </w:r>
          </w:p>
          <w:p>
            <w:pPr>
              <w:pStyle w:val="Normal"/>
              <w:widowControl w:val="false"/>
              <w:suppressAutoHyphens w:val="true"/>
              <w:ind w:left="0" w:right="0" w:hanging="0"/>
              <w:rPr>
                <w:sz w:val="22"/>
                <w:szCs w:val="22"/>
                <w:lang w:val="uk-UA"/>
              </w:rPr>
            </w:pPr>
            <w:r>
              <w:rPr>
                <w:sz w:val="22"/>
                <w:szCs w:val="22"/>
                <w:lang w:val="uk-UA"/>
              </w:rPr>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Абзац третій пункту 4 частини другої статті 7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25 квітня 2018 р. № 306 "Деякі питання встановлення зв’язку інвалідності з пораненнями чи іншими ушкодженнями здоров’я"</w:t>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Навчання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pPr>
            <w:r>
              <w:rPr>
                <w:color w:val="000000"/>
                <w:sz w:val="22"/>
                <w:szCs w:val="22"/>
              </w:rPr>
              <w:t>Професійн</w:t>
            </w:r>
            <w:r>
              <w:rPr>
                <w:color w:val="000000"/>
                <w:sz w:val="22"/>
                <w:szCs w:val="22"/>
                <w:lang w:val="uk-UA" w:eastAsia="zh-CN"/>
              </w:rPr>
              <w:t>е</w:t>
            </w:r>
            <w:r>
              <w:rPr>
                <w:color w:val="000000"/>
                <w:sz w:val="22"/>
                <w:szCs w:val="22"/>
              </w:rPr>
              <w:t xml:space="preserve"> навчання зареєстрованих безробітних та (або) їх проживання у період навчання</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Видача ваучерів для підтримання конкурентоспроможності на ринку праці  у випадку звільнення з військової служби (крім військовослужбовців строкової служби), служби в органах внутрішніх справ, Державної служби спеціального зв’язку та захисту інформації України, органів і підрозділів цивільного захисту, податкової міліції або Державної кримінально-виконавчої служби України у зв’язку із скороченням чисельності, штату або за станом здоров’я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Пункт 3 частини першої статті 30 Закону України "Про зайнятість населення";</w:t>
            </w:r>
          </w:p>
          <w:p>
            <w:pPr>
              <w:pStyle w:val="Normal"/>
              <w:widowControl w:val="false"/>
              <w:rPr>
                <w:sz w:val="22"/>
                <w:szCs w:val="22"/>
              </w:rPr>
            </w:pPr>
            <w:r>
              <w:rPr>
                <w:sz w:val="22"/>
                <w:szCs w:val="22"/>
              </w:rPr>
              <w:t>Абзац 5 пункту 1 Порядку видачі ваучерів для підтримання конкурентоспроможності осіб на ринку праці, затвердженого постановою Кабінету Міністрів України від 20 березня 2013 р. № 207</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Комплексні короткострокові навчальні  програми  для здобуття часткових кваліфікацій, перепідготовки та підвищення кваліфікації  з  енергоефективності за  технологічно суміжними професіями  будівельної  галузі</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Професійне навчання за дуальною формою освіти</w:t>
            </w:r>
          </w:p>
          <w:p>
            <w:pPr>
              <w:pStyle w:val="Normal"/>
              <w:widowControl w:val="false"/>
              <w:suppressAutoHyphens w:val="tru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Професійне навчання за дуальною формою освіти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Повна оплата навчання за рахунок коштів загального фонду державного або місцевих бюджетів у разі зарахування вступників на навчання за державним (регіональним) замовленням</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Пункт 22 частини першої статті 12, частина третя статті 16-1 Закон України "Про статус ветеранів війни, гарантії їх соціального захисту";                                                                                                                                                                                                                                                                      Підпукти 1-4 пункту 1, абзац 2 пункту 4  Порядку та умов надання державної цільової підтримки деяким категоріям громадян для здобуття професійної (професійно-технічної), фахової передвищої та вищої освіти, затверджених постановою Кабінету Міністрів України від 23 листопада 2016 р. № 975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Часткової оплати навчання за рахунок коштів державного або місцевих бюджетів шляхом надання пільгових довгострокових кредитів для здобуття професійної (професійно-технічної), фахової передвищої та вищої освіти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Пункт 22 частини першої статті 12 Закону України "Про статус ветеранів війни, гарантії їх соціального захисту";</w:t>
            </w:r>
          </w:p>
          <w:p>
            <w:pPr>
              <w:pStyle w:val="Normal"/>
              <w:widowControl w:val="false"/>
              <w:rPr>
                <w:sz w:val="22"/>
                <w:szCs w:val="22"/>
              </w:rPr>
            </w:pPr>
            <w:r>
              <w:rPr>
                <w:sz w:val="22"/>
                <w:szCs w:val="22"/>
              </w:rPr>
              <w:t>Стаття 42, 44-1 Закону України “Про професійну (професійно-технічну) освіту”;</w:t>
            </w:r>
          </w:p>
          <w:p>
            <w:pPr>
              <w:pStyle w:val="Normal"/>
              <w:widowControl w:val="false"/>
              <w:rPr>
                <w:sz w:val="22"/>
                <w:szCs w:val="22"/>
              </w:rPr>
            </w:pPr>
            <w:r>
              <w:rPr>
                <w:sz w:val="22"/>
                <w:szCs w:val="22"/>
              </w:rPr>
              <w:t>Частина п’ятнадцята статті 44 Закону України “Про вищу освіту”;</w:t>
            </w:r>
          </w:p>
          <w:p>
            <w:pPr>
              <w:pStyle w:val="Normal"/>
              <w:widowControl w:val="false"/>
              <w:rPr>
                <w:sz w:val="22"/>
                <w:szCs w:val="22"/>
              </w:rPr>
            </w:pPr>
            <w:r>
              <w:rPr>
                <w:sz w:val="22"/>
                <w:szCs w:val="22"/>
              </w:rPr>
              <w:t>Частина одинадцята статті 43 Закону України “Про фахову передвищу освіту”;                                                                                                                                                                                                                  Підпукти 1-4 пункту 1, абзац  4 пункту 4  Порядку та умов надання державної цільової підтримки деяким категоріям громадян для здобуття професійної (професійно-технічної), фахової передвищої та вищої освіти, затверджених постановою Кабінету Міністрів України від 23 листопада 2016 р. № 975;</w:t>
            </w:r>
          </w:p>
          <w:p>
            <w:pPr>
              <w:pStyle w:val="Normal"/>
              <w:widowControl w:val="false"/>
              <w:rPr>
                <w:sz w:val="22"/>
                <w:szCs w:val="22"/>
              </w:rPr>
            </w:pPr>
            <w:r>
              <w:rPr>
                <w:sz w:val="22"/>
                <w:szCs w:val="22"/>
              </w:rPr>
              <w:t>Наказ МОН щодо затвердження Умов прийому на навчання для здобуття професійної (професійно-технічної), фахової передвищої та вищої освіти у відповідному році.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Першочергове переведення осіб, зарахованих на навчання за кошти фізичних або юридичних осіб, на навчання на місцях державного (регіонального ) замовлення у державних або комунальних закладах освіти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Надання соціальної стипендії для осіб, які навчаються за державним або регіональним замовленням за денною формою навчання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Пункт 22 частини першої статті 12 Закону України "Про статус ветеранів війни, гарантії їх соціального захисту";</w:t>
            </w:r>
          </w:p>
          <w:p>
            <w:pPr>
              <w:pStyle w:val="Normal"/>
              <w:widowControl w:val="false"/>
              <w:rPr>
                <w:sz w:val="22"/>
                <w:szCs w:val="22"/>
              </w:rPr>
            </w:pPr>
            <w:r>
              <w:rPr>
                <w:sz w:val="22"/>
                <w:szCs w:val="22"/>
              </w:rPr>
              <w:t>Статті 42, 44-1 Закону України “Про професійну (професійно-технічну) освіту”;</w:t>
            </w:r>
          </w:p>
          <w:p>
            <w:pPr>
              <w:pStyle w:val="Normal"/>
              <w:widowControl w:val="false"/>
              <w:rPr>
                <w:sz w:val="22"/>
                <w:szCs w:val="22"/>
              </w:rPr>
            </w:pPr>
            <w:r>
              <w:rPr>
                <w:sz w:val="22"/>
                <w:szCs w:val="22"/>
              </w:rPr>
              <w:t>Частина п’ятнадцята статті 44 Закону України “Про вищу освіту”;</w:t>
            </w:r>
          </w:p>
          <w:p>
            <w:pPr>
              <w:pStyle w:val="Normal"/>
              <w:widowControl w:val="false"/>
              <w:rPr>
                <w:sz w:val="22"/>
                <w:szCs w:val="22"/>
              </w:rPr>
            </w:pPr>
            <w:r>
              <w:rPr>
                <w:sz w:val="22"/>
                <w:szCs w:val="22"/>
              </w:rPr>
              <w:t>Частина одинадцята статті 43 Закону України “Про фахову передвищу освіту”;                                                                                                                                                                                                                                                                                                               Підпукти 1-4 пункту 1, абзац 5 пункту 4  Порядку та умов надання державної цільової підтримки деяким категоріям громадян для здобуття професійної (професійно-технічної), фахової передвищої та вищої освіти, затверджених постановою Кабінету Міністрів України від 23 листопада 2016 р. № 975;</w:t>
            </w:r>
          </w:p>
          <w:p>
            <w:pPr>
              <w:pStyle w:val="Normal"/>
              <w:widowControl w:val="false"/>
              <w:rPr>
                <w:sz w:val="22"/>
                <w:szCs w:val="22"/>
              </w:rPr>
            </w:pPr>
            <w:r>
              <w:rPr>
                <w:sz w:val="22"/>
                <w:szCs w:val="22"/>
              </w:rPr>
              <w:t>Підпункти 5, 6, 7, 12, 12-1 пункту 4  Порядку використання коштів, передбачених у державному бюджеті для виплати соціальних стипендій студентам (курсантам) закладів фахової передвищої та вищої освіти, затвердженого постановою Кабінету Міністрів України від 28 грудня 2016 р. № 1045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Безоплатне забезпечення підручниками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Пункт 22 частини першої статті 12 Закону України "Про статус ветеранів війни, гарантії їх соціального захисту";</w:t>
            </w:r>
          </w:p>
          <w:p>
            <w:pPr>
              <w:pStyle w:val="Normal"/>
              <w:widowControl w:val="false"/>
              <w:rPr>
                <w:sz w:val="22"/>
                <w:szCs w:val="22"/>
              </w:rPr>
            </w:pPr>
            <w:r>
              <w:rPr>
                <w:sz w:val="22"/>
                <w:szCs w:val="22"/>
              </w:rPr>
              <w:t>Статті 42, 44-1 Закону України “Про професійну (професійно-технічну) освіту”;</w:t>
            </w:r>
          </w:p>
          <w:p>
            <w:pPr>
              <w:pStyle w:val="Normal"/>
              <w:widowControl w:val="false"/>
              <w:rPr>
                <w:sz w:val="22"/>
                <w:szCs w:val="22"/>
              </w:rPr>
            </w:pPr>
            <w:r>
              <w:rPr>
                <w:sz w:val="22"/>
                <w:szCs w:val="22"/>
              </w:rPr>
              <w:t>Частина п’ятнадцята статті 44 Закону України “Про вищу освіту”;</w:t>
            </w:r>
          </w:p>
          <w:p>
            <w:pPr>
              <w:pStyle w:val="Normal"/>
              <w:widowControl w:val="false"/>
              <w:rPr>
                <w:sz w:val="22"/>
                <w:szCs w:val="22"/>
              </w:rPr>
            </w:pPr>
            <w:r>
              <w:rPr>
                <w:sz w:val="22"/>
                <w:szCs w:val="22"/>
              </w:rPr>
              <w:t>Частина одинадцята статті 43 Закону України “Про фахову передвищу освіту”;                                                                                                                                                                                                                                                                                                            Підпукти 1-4 пункту 1, абзац 6 пункту 4  Порядку та умов надання державної цільової підтримки деяким категоріям громадян для здобуття професійної (професійно-технічної), фахової передвищої та вищої освіти, затверджених постановою Кабінету Міністрів України від 23 листопада 2016 р. № 975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239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Безоплатний доступ до Інтернету, систем баз даних у державних та комунальних закладах освіти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sz w:val="22"/>
                <w:szCs w:val="22"/>
              </w:rPr>
              <w:t>П</w:t>
            </w:r>
            <w:r>
              <w:rPr>
                <w:sz w:val="22"/>
                <w:szCs w:val="22"/>
              </w:rPr>
              <w:t>ункт 22 частини першої статті 12 Закону України "Про статус ветеранів війни, гарантії їх соціального захисту";</w:t>
            </w:r>
          </w:p>
          <w:p>
            <w:pPr>
              <w:pStyle w:val="Normal"/>
              <w:widowControl w:val="false"/>
              <w:rPr>
                <w:sz w:val="22"/>
                <w:szCs w:val="22"/>
              </w:rPr>
            </w:pPr>
            <w:r>
              <w:rPr>
                <w:sz w:val="22"/>
                <w:szCs w:val="22"/>
              </w:rPr>
              <w:t>Статті 42, 44-1 Закону України “Про професійну (професійно-технічну) освіту”;</w:t>
            </w:r>
          </w:p>
          <w:p>
            <w:pPr>
              <w:pStyle w:val="Normal"/>
              <w:widowControl w:val="false"/>
              <w:rPr>
                <w:sz w:val="22"/>
                <w:szCs w:val="22"/>
              </w:rPr>
            </w:pPr>
            <w:r>
              <w:rPr>
                <w:sz w:val="22"/>
                <w:szCs w:val="22"/>
              </w:rPr>
              <w:t>Частина п’ятнадцята статті 44 Закон України “Про вищу освіту”;</w:t>
            </w:r>
          </w:p>
          <w:p>
            <w:pPr>
              <w:pStyle w:val="Normal"/>
              <w:widowControl w:val="false"/>
              <w:rPr>
                <w:sz w:val="22"/>
                <w:szCs w:val="22"/>
              </w:rPr>
            </w:pPr>
            <w:r>
              <w:rPr>
                <w:sz w:val="22"/>
                <w:szCs w:val="22"/>
              </w:rPr>
              <w:t>Частина одинадцята статті 43 Закон України “Про фахову передвищу освіту”;                                                                                                                                                                                                                                                                                                             Підпукти 1-4 пункту 1, абзац 7 пункту 4  Порядку та умов надання державної цільової підтримки деяким категоріям громадян для здобуття професійної (професійно-технічної), фахової передвищої та вищої освіти, затверджених постановою Кабінету Міністрів України від 23 листопада 2016 р. № 975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Безоплатне проживання в учнівських та студентських гуртожитках</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Пункт 22 частини першої статті 12 Закону України "Про статус ветеранів війни, гарантії їх соціального захисту";</w:t>
            </w:r>
          </w:p>
          <w:p>
            <w:pPr>
              <w:pStyle w:val="Normal"/>
              <w:widowControl w:val="false"/>
              <w:rPr>
                <w:sz w:val="22"/>
                <w:szCs w:val="22"/>
              </w:rPr>
            </w:pPr>
            <w:r>
              <w:rPr>
                <w:sz w:val="22"/>
                <w:szCs w:val="22"/>
              </w:rPr>
              <w:t>Статті 42, 44-1 Закону України “Про професійну (професійно-технічну) освіту”;</w:t>
            </w:r>
          </w:p>
          <w:p>
            <w:pPr>
              <w:pStyle w:val="Normal"/>
              <w:widowControl w:val="false"/>
              <w:rPr>
                <w:sz w:val="22"/>
                <w:szCs w:val="22"/>
              </w:rPr>
            </w:pPr>
            <w:r>
              <w:rPr>
                <w:sz w:val="22"/>
                <w:szCs w:val="22"/>
              </w:rPr>
              <w:t>Частина п’ятнадцята статті 44 Закону України “Про вищу освіту”;</w:t>
            </w:r>
          </w:p>
          <w:p>
            <w:pPr>
              <w:pStyle w:val="Normal"/>
              <w:widowControl w:val="false"/>
              <w:rPr>
                <w:sz w:val="22"/>
                <w:szCs w:val="22"/>
              </w:rPr>
            </w:pPr>
            <w:r>
              <w:rPr>
                <w:sz w:val="22"/>
                <w:szCs w:val="22"/>
              </w:rPr>
              <w:t>Частина одинадцята статті 43 Закону України “Про фахову передвищу освіту”;                                                                                                                                                                                                                                                                                                           Підпукти 1-4 пункту 1, абзац 8 пукту 4  Порядку та умов надання державної цільової підтримки деяким категоріям громадян для здобуття професійної (професійно-технічної), фахової передвищої та вищої освіти, затверджених постановою Кабінету Міністрів України від 23 листопада 2016 р. № 975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Видача направлення на професійне навчання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lang w:val="uk-UA"/>
              </w:rPr>
              <w:t xml:space="preserve">Закон України “Про соціальний і правовий захист військовослужбовців та членів їх сімей”;                                                                                                                                                                                                                                                                                                                                                                                                                                                                                                                               Порядок організації соціальної та професійної адаптації учасників антитерористичної операції,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та постраждалих учасників Революції Гідності, членів сімей загиблих (померлих) таких осіб, затвердженого постановою </w:t>
            </w:r>
            <w:r>
              <w:rPr>
                <w:sz w:val="22"/>
                <w:szCs w:val="22"/>
              </w:rPr>
              <w:t>Кабінету Міністрів України від 21 червня 2017 р. № 432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Прийняття рішення про надання соціальної послуги з соціальної адаптації</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Стаття 21 Закону України "Про соціальні послуги";                                                                                                                                                                                                                                                                                                                                                   Пункт 2 частини п’ятої статті 17 Закону України "Про соціальну роботу з сім’ями, дітьми та молоддю";</w:t>
            </w:r>
          </w:p>
          <w:p>
            <w:pPr>
              <w:pStyle w:val="Normal"/>
              <w:widowControl w:val="false"/>
              <w:rPr>
                <w:sz w:val="22"/>
                <w:szCs w:val="22"/>
              </w:rPr>
            </w:pPr>
            <w:r>
              <w:rPr>
                <w:sz w:val="22"/>
                <w:szCs w:val="22"/>
              </w:rPr>
              <w:t>Абзац 38 пункту 4   Порядку організації надання соціальних послуг, затвердженого постановою Кабінету Міністрів України від 1 червня 2020 р. № 587;</w:t>
            </w:r>
          </w:p>
          <w:p>
            <w:pPr>
              <w:pStyle w:val="Normal"/>
              <w:widowControl w:val="false"/>
              <w:rPr>
                <w:sz w:val="22"/>
                <w:szCs w:val="22"/>
              </w:rPr>
            </w:pPr>
            <w:r>
              <w:rPr>
                <w:sz w:val="22"/>
                <w:szCs w:val="22"/>
              </w:rPr>
              <w:t>Пункт 36 постанови Кабінету Міністрів України від 26 червня 2019 р. № 576 "Про затвердження Порядку надання соціальних послуг особам з інвалідністю та особам похилого віку, які страждають на психічні розлади";</w:t>
            </w:r>
          </w:p>
          <w:p>
            <w:pPr>
              <w:pStyle w:val="Normal"/>
              <w:widowControl w:val="false"/>
              <w:rPr>
                <w:sz w:val="22"/>
                <w:szCs w:val="22"/>
              </w:rPr>
            </w:pPr>
            <w:r>
              <w:rPr>
                <w:sz w:val="22"/>
                <w:szCs w:val="22"/>
              </w:rPr>
              <w:t>Пункт 4 наказу Мінсоцполітики від 18.05.2015  № 514 "Про затвердження Державного стандарту соціальної адаптації";</w:t>
            </w:r>
          </w:p>
          <w:p>
            <w:pPr>
              <w:pStyle w:val="Normal"/>
              <w:widowControl w:val="false"/>
              <w:rPr>
                <w:sz w:val="22"/>
                <w:szCs w:val="22"/>
              </w:rPr>
            </w:pPr>
            <w:r>
              <w:rPr>
                <w:sz w:val="22"/>
                <w:szCs w:val="22"/>
              </w:rPr>
              <w:t>Пункт 21 розділу ІІ  Класифікатора соціальних послуг, затвердженого наказом Міністерства соціальної політики України від 23.06.2020  № 429, зареєстрованим в Міністерстві юстиції України 09 липня 2020 р. за № 643/34926</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243</w:t>
            </w:r>
          </w:p>
        </w:tc>
        <w:tc>
          <w:tcPr>
            <w:tcW w:w="8500" w:type="dxa"/>
            <w:tcBorders>
              <w:top w:val="single" w:sz="4" w:space="0" w:color="000000"/>
              <w:left w:val="single" w:sz="4" w:space="0" w:color="000000"/>
              <w:bottom w:val="single" w:sz="4" w:space="0" w:color="000000"/>
              <w:right w:val="single" w:sz="4" w:space="0" w:color="000000"/>
            </w:tcBorders>
          </w:tcPr>
          <w:p>
            <w:pPr>
              <w:pStyle w:val="Style32"/>
              <w:widowControl w:val="false"/>
              <w:spacing w:lineRule="auto" w:line="240" w:before="0" w:after="0"/>
              <w:ind w:left="0" w:right="0" w:hanging="0"/>
              <w:rPr/>
            </w:pPr>
            <w:r>
              <w:rPr>
                <w:rFonts w:cs="Times New Roman" w:ascii="Times New Roman" w:hAnsi="Times New Roman"/>
                <w:sz w:val="22"/>
                <w:szCs w:val="22"/>
              </w:rPr>
              <w:t>В</w:t>
            </w:r>
            <w:r>
              <w:rPr>
                <w:rFonts w:cs="Times New Roman" w:ascii="Times New Roman" w:hAnsi="Times New Roman"/>
                <w:color w:val="000000"/>
                <w:sz w:val="22"/>
                <w:szCs w:val="22"/>
              </w:rPr>
              <w:t>идача направлення на підтвердження кваліфікації за результатами неформального професійного навчання осіб за робітничими професіями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Стаття 14 Закону України "Про професійний розвиток працівників";</w:t>
            </w:r>
          </w:p>
          <w:p>
            <w:pPr>
              <w:pStyle w:val="Normal"/>
              <w:widowControl w:val="false"/>
              <w:rPr>
                <w:color w:val="000000"/>
                <w:sz w:val="22"/>
                <w:szCs w:val="22"/>
              </w:rPr>
            </w:pPr>
            <w:r>
              <w:rPr>
                <w:color w:val="000000"/>
                <w:sz w:val="22"/>
                <w:szCs w:val="22"/>
              </w:rPr>
              <w:t>Постанова Кабінету Міністрів України від 15 травня 2013 р. № 340 "Про затвердження Порядку підтвердження результатів неформального професійного навчання осіб за робітничими професіями";</w:t>
            </w:r>
          </w:p>
          <w:p>
            <w:pPr>
              <w:pStyle w:val="Normal"/>
              <w:widowControl w:val="false"/>
              <w:rPr>
                <w:color w:val="000000"/>
                <w:sz w:val="22"/>
                <w:szCs w:val="22"/>
              </w:rPr>
            </w:pPr>
            <w:r>
              <w:rPr>
                <w:color w:val="000000"/>
                <w:sz w:val="22"/>
                <w:szCs w:val="22"/>
              </w:rPr>
              <w:t>Наказ Мінсоцполітики від 17.07.2014  № 477 "Про затвердження Порядку видачі та форм документів про підтвердження результатів неформального професійного навчання осіб за робітничими професіями";</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Вступ поза конкурсом до державних та комунальних закладів вищої та фахової передвищої освіти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Пункт 23 частини першої статті 15 Закону України "Про статус ветеранів війни, гарантії їх соціального захисту"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Право на позаконкурсний вступ до закладів професійної (професійно-технічної) освіти і на курси для одержання відповідних професій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2"/>
                <w:szCs w:val="22"/>
                <w:lang w:val="uk-UA"/>
              </w:rPr>
              <w:t xml:space="preserve">Пункт 22 частини першої статті 12, частини першої статті 16-1 Закону України "Про статус ветеранів війни, гарантії їх соціального захисту";                                                                                                            Абзац 2 пукту 5.1 розділу </w:t>
            </w:r>
            <w:r>
              <w:rPr>
                <w:sz w:val="22"/>
                <w:szCs w:val="22"/>
              </w:rPr>
              <w:t>V</w:t>
            </w:r>
            <w:r>
              <w:rPr>
                <w:sz w:val="22"/>
                <w:szCs w:val="22"/>
                <w:lang w:val="uk-UA"/>
              </w:rPr>
              <w:t xml:space="preserve"> Типових правил прийому до закладів професійної (професійно-технічної) освіти України, затверджених наказом Міністерства освіти і науки України від 14.05.2013  № 499, заєстрованим в Міністерстві юстиції України 29 травня 2013 р. за № 823/23355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Безкоштовне харчування дітей загиблих (померлих) ветеранів війни, Захисників і Захисниць України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частина десята статті 15 Закону України "Про статус ветеранів війни, гарантії їх соціального захисту"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навчальні курси з іноземних мов та інформаційних технологій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lang w:val="uk-UA"/>
              </w:rPr>
            </w:pPr>
            <w:r>
              <w:rPr>
                <w:color w:val="000000"/>
                <w:sz w:val="22"/>
                <w:szCs w:val="22"/>
                <w:lang w:val="uk-UA"/>
              </w:rPr>
              <w:t>Отримання другого (магістерського) рівня вищої освіти на основі першого (бакалаврського) рівня вищої освіти з урахуванням їх навичок, умінь та побажань</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249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Навчання на курсах цільового призначення</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Житло</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Надання учасникам бойових дій та постраждалим учасникам Революції Гідності 75-процентної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75-процентної знижки вартості палива, в тому числі рідкого, в межах норм, встановлених для продажу населенню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ст. 87 Бюджетного Кодексу України</w:t>
            </w:r>
          </w:p>
          <w:p>
            <w:pPr>
              <w:pStyle w:val="Normal"/>
              <w:widowControl w:val="false"/>
              <w:rPr>
                <w:sz w:val="22"/>
                <w:szCs w:val="22"/>
              </w:rPr>
            </w:pPr>
            <w:r>
              <w:rPr>
                <w:sz w:val="22"/>
                <w:szCs w:val="22"/>
              </w:rPr>
              <w:t>Пункти 4-6 частини першої,  частини друга та третя статті 12, частина третя статті 16-1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Постанова КМУ від 29.01.2003 № 117 “Про Єдиний державний автоматизований реєстр осіб, які мають право на пільги”</w:t>
            </w:r>
          </w:p>
          <w:p>
            <w:pPr>
              <w:pStyle w:val="Normal"/>
              <w:widowControl w:val="false"/>
              <w:rPr>
                <w:sz w:val="22"/>
                <w:szCs w:val="22"/>
              </w:rPr>
            </w:pPr>
            <w:r>
              <w:rPr>
                <w:sz w:val="22"/>
                <w:szCs w:val="22"/>
              </w:rPr>
              <w:t>Постанова КМУ 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Надання особам з інвалідністю внаслідок війни 100-процентної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100-процентної знижки вартості палива, в тому числі рідкого, в межах норм, встановлених для продажу населенню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 87 Бюджетного Кодексу України;</w:t>
            </w:r>
          </w:p>
          <w:p>
            <w:pPr>
              <w:pStyle w:val="Normal"/>
              <w:widowControl w:val="false"/>
              <w:rPr>
                <w:color w:val="000000"/>
                <w:sz w:val="22"/>
                <w:szCs w:val="22"/>
              </w:rPr>
            </w:pPr>
            <w:r>
              <w:rPr>
                <w:color w:val="000000"/>
                <w:sz w:val="22"/>
                <w:szCs w:val="22"/>
              </w:rPr>
              <w:t>Пункти 4-6 частини першої,  частини друга та третя статті 13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29.01.2003 № 117 “Про Єдиний державний автоматизований реєстр осіб, які мають право на пільги”;</w:t>
            </w:r>
          </w:p>
          <w:p>
            <w:pPr>
              <w:pStyle w:val="Normal"/>
              <w:widowControl w:val="false"/>
              <w:rPr>
                <w:color w:val="000000"/>
                <w:sz w:val="22"/>
                <w:szCs w:val="22"/>
              </w:rPr>
            </w:pPr>
            <w:r>
              <w:rPr>
                <w:color w:val="000000"/>
                <w:sz w:val="22"/>
                <w:szCs w:val="22"/>
              </w:rPr>
              <w:t>Постанова КМУ 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rPr>
                <w:color w:val="000000"/>
                <w:sz w:val="22"/>
                <w:szCs w:val="22"/>
              </w:rPr>
            </w:pPr>
            <w:r>
              <w:rPr>
                <w:color w:val="000000"/>
                <w:sz w:val="22"/>
                <w:szCs w:val="22"/>
              </w:rPr>
              <w:t>Надання учасникам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ст. 87 Бюджетного Кодексу України;</w:t>
            </w:r>
          </w:p>
          <w:p>
            <w:pPr>
              <w:pStyle w:val="Normal"/>
              <w:widowControl w:val="false"/>
              <w:rPr>
                <w:color w:val="000000"/>
                <w:sz w:val="22"/>
                <w:szCs w:val="22"/>
              </w:rPr>
            </w:pPr>
            <w:r>
              <w:rPr>
                <w:color w:val="000000"/>
                <w:sz w:val="22"/>
                <w:szCs w:val="22"/>
              </w:rPr>
              <w:t>Пункти 4-6 частини першої,  частини друга, третя та шоста статті 14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29.01.2003 № 117 “Про Єдиний державний автоматизований реєстр осіб, які мають право на пільги”;</w:t>
            </w:r>
          </w:p>
          <w:p>
            <w:pPr>
              <w:pStyle w:val="Normal"/>
              <w:widowControl w:val="false"/>
              <w:rPr>
                <w:color w:val="000000"/>
                <w:sz w:val="22"/>
                <w:szCs w:val="22"/>
              </w:rPr>
            </w:pPr>
            <w:r>
              <w:rPr>
                <w:color w:val="000000"/>
                <w:sz w:val="22"/>
                <w:szCs w:val="22"/>
              </w:rPr>
              <w:t>Постанова КМУ 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сім’ям загиблих (померлих) ветеранів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ст. 87 Бюджетного Кодексу України;</w:t>
            </w:r>
          </w:p>
          <w:p>
            <w:pPr>
              <w:pStyle w:val="Normal"/>
              <w:widowControl w:val="false"/>
              <w:rPr>
                <w:color w:val="000000"/>
                <w:sz w:val="22"/>
                <w:szCs w:val="22"/>
              </w:rPr>
            </w:pPr>
            <w:r>
              <w:rPr>
                <w:color w:val="000000"/>
                <w:sz w:val="22"/>
                <w:szCs w:val="22"/>
              </w:rPr>
              <w:t>Пункти 4-6 частини першої, частини друга та третя статті 15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29.01.2003 № 117 “Про Єдиний державний автоматизований реєстр осіб, які мають право на пільги”;</w:t>
            </w:r>
          </w:p>
          <w:p>
            <w:pPr>
              <w:pStyle w:val="Normal"/>
              <w:widowControl w:val="false"/>
              <w:rPr>
                <w:color w:val="000000"/>
                <w:sz w:val="22"/>
                <w:szCs w:val="22"/>
              </w:rPr>
            </w:pPr>
            <w:r>
              <w:rPr>
                <w:color w:val="000000"/>
                <w:sz w:val="22"/>
                <w:szCs w:val="22"/>
              </w:rPr>
              <w:t>Постанова КМУ 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Звільнення  осіб, які мають особливі заслуги перед Батьківщиною,  і членів їх сімей, які проживають разом з ними, від квартирної плати незалежно від форми власності житлового фонду, від оплати комунальних послуг (водопостачання, каналізація, газ, електроенергія, гаряче водопостачання, центральне опалення, а в будинках, що не мають центрального опалення, - надання палива, придбаного у межах норм, установлених для продажу населенню, та інші види комунальних послуг), від оплати скрапленого балонного газу для побутових потреб, від плати за користування домашнім телефоном і позавідомчою охоронною сигналізацією житла незалежно від виду житлового фонду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ст. 87 Бюджетного Кодексу України;</w:t>
            </w:r>
          </w:p>
          <w:p>
            <w:pPr>
              <w:pStyle w:val="Normal"/>
              <w:widowControl w:val="false"/>
              <w:rPr>
                <w:sz w:val="22"/>
                <w:szCs w:val="22"/>
              </w:rPr>
            </w:pPr>
            <w:r>
              <w:rPr>
                <w:sz w:val="22"/>
                <w:szCs w:val="22"/>
              </w:rPr>
              <w:t>Пункт 7 частини першої, частина друга статті 16  Закон України “Про статус ветеранів війни, гарантії їх соціального захисту”; Частину другу статті 16 визнано такою, що не відповідає Конституції (є неконституційною) згідно з Рішенням Конституційного Суду № 12-р/2018 від 18.12.2018</w:t>
            </w:r>
          </w:p>
          <w:p>
            <w:pPr>
              <w:pStyle w:val="Normal"/>
              <w:widowControl w:val="false"/>
              <w:rPr>
                <w:sz w:val="22"/>
                <w:szCs w:val="22"/>
              </w:rPr>
            </w:pPr>
            <w:r>
              <w:rPr>
                <w:sz w:val="22"/>
                <w:szCs w:val="22"/>
              </w:rPr>
              <w:t>Постанова КМУ від 29.01.2003 № 117 “Про Єдиний державний автоматизований реєстр осіб, які мають право на пільги”;</w:t>
            </w:r>
          </w:p>
          <w:p>
            <w:pPr>
              <w:pStyle w:val="Normal"/>
              <w:widowControl w:val="false"/>
              <w:rPr>
                <w:sz w:val="22"/>
                <w:szCs w:val="22"/>
              </w:rPr>
            </w:pPr>
            <w:r>
              <w:rPr>
                <w:sz w:val="22"/>
                <w:szCs w:val="22"/>
              </w:rPr>
              <w:t>Постанова КМУ від 17.04.2019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Позачерговий безплатний капітальний ремонт власних жилих будинків і квартир та першочерговий поточний ремонт жилих будинків і квартир осіб з інвалідністю внаслідок війни, членів сімей загиблих (померлих) ветеранів війни, Захисників і Захисниць України та осіб, які мають особливі заслуги перед Батьківщиною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lang w:val="uk-UA"/>
              </w:rPr>
            </w:pPr>
            <w:r>
              <w:rPr>
                <w:color w:val="000000"/>
                <w:sz w:val="22"/>
                <w:szCs w:val="22"/>
                <w:lang w:val="uk-UA"/>
              </w:rPr>
              <w:t>стаття 91 Бюджетного кодексу України;</w:t>
            </w:r>
          </w:p>
          <w:p>
            <w:pPr>
              <w:pStyle w:val="Normal"/>
              <w:widowControl w:val="false"/>
              <w:rPr>
                <w:color w:val="000000"/>
                <w:sz w:val="22"/>
                <w:szCs w:val="22"/>
                <w:lang w:val="uk-UA"/>
              </w:rPr>
            </w:pPr>
            <w:r>
              <w:rPr>
                <w:color w:val="000000"/>
                <w:sz w:val="22"/>
                <w:szCs w:val="22"/>
                <w:lang w:val="uk-UA"/>
              </w:rPr>
              <w:t>Пункт 8 частини першої статті 13, пункт 8 частини першої статті 15, пункт 10 статті 16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20.05.2009 № 565 “Про затвердження Порядку проведення безоплатного капітального ремонту власних житлових будинків і квартир осіб, що мають право на таку пільгу, а також першочерговий поточний ремонт житлових будинків і квартир осіб, які мають на це право”</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color w:val="000000"/>
                <w:sz w:val="22"/>
                <w:szCs w:val="22"/>
              </w:rPr>
            </w:pPr>
            <w:r>
              <w:rPr>
                <w:color w:val="000000"/>
                <w:sz w:val="22"/>
                <w:szCs w:val="22"/>
              </w:rPr>
              <w:t>Постанова КМУ від 20.02.2019 № 206 "Питання забезпечення житлом деяких категорій осіб, які брали участь в Революції Гідності, а також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color w:val="000000"/>
                <w:sz w:val="22"/>
                <w:szCs w:val="22"/>
              </w:rPr>
            </w:pPr>
            <w:r>
              <w:rPr>
                <w:color w:val="000000"/>
                <w:sz w:val="22"/>
                <w:szCs w:val="22"/>
              </w:rPr>
              <w:t>Постанова КМУ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color w:val="000000"/>
                <w:sz w:val="22"/>
                <w:szCs w:val="22"/>
              </w:rPr>
            </w:pPr>
            <w:r>
              <w:rPr>
                <w:color w:val="000000"/>
                <w:sz w:val="22"/>
                <w:szCs w:val="22"/>
              </w:rPr>
              <w:t>Постанова КМУ  від 18.04.2018  № 280 “Питання забезпечення житлом внутрішньо переміщених осіб, які захищали незалежність, суверенітет та територіальну цілісність України“;</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259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color w:val="000000"/>
                <w:sz w:val="22"/>
                <w:szCs w:val="22"/>
              </w:rPr>
            </w:pPr>
            <w:r>
              <w:rPr>
                <w:color w:val="000000"/>
                <w:sz w:val="22"/>
                <w:szCs w:val="22"/>
              </w:rPr>
              <w:t>Постанова КМУ від 28.03.2018 № 214 “Питання забезпечення житлом деяких категорій осіб, які брали участь у бойових діях на території інших держав, а також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згоди на перерахування коштів як оплати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постанова КМУ від 28.03.2018 № 214 “Питання забезпечення житлом деяких категорій осіб, які брали участь у бойових діях на території інших держав, а також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Надання згоди на перерахування коштів як оплати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color w:val="000000"/>
                <w:sz w:val="22"/>
                <w:szCs w:val="22"/>
              </w:rPr>
            </w:pPr>
            <w:r>
              <w:rPr>
                <w:color w:val="000000"/>
                <w:sz w:val="22"/>
                <w:szCs w:val="22"/>
              </w:rPr>
              <w:t>постанова КМУ від 20.02.2019 № 206 "Питання забезпечення житлом деяких категорій осіб, які брали участь в Революції Гідності, а також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Надання згоди на перерахування коштів як оплати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color w:val="000000"/>
                <w:sz w:val="22"/>
                <w:szCs w:val="22"/>
              </w:rPr>
            </w:pPr>
            <w:r>
              <w:rPr>
                <w:color w:val="000000"/>
                <w:sz w:val="22"/>
                <w:szCs w:val="22"/>
              </w:rPr>
              <w:t>постанова КМУ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Надання згоди на перерахування коштів як оплати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Бюджетний кодекс України;</w:t>
            </w:r>
          </w:p>
          <w:p>
            <w:pPr>
              <w:pStyle w:val="Normal"/>
              <w:widowControl w:val="false"/>
              <w:rPr>
                <w:color w:val="000000"/>
                <w:sz w:val="22"/>
                <w:szCs w:val="22"/>
              </w:rPr>
            </w:pPr>
            <w:r>
              <w:rPr>
                <w:color w:val="000000"/>
                <w:sz w:val="22"/>
                <w:szCs w:val="22"/>
              </w:rPr>
              <w:t>Житловий кодекс України;</w:t>
            </w:r>
          </w:p>
          <w:p>
            <w:pPr>
              <w:pStyle w:val="Normal"/>
              <w:widowControl w:val="false"/>
              <w:rPr/>
            </w:pPr>
            <w:r>
              <w:rPr>
                <w:color w:val="000000"/>
                <w:sz w:val="22"/>
                <w:szCs w:val="22"/>
                <w:lang w:val="uk-UA" w:eastAsia="zh-CN"/>
              </w:rPr>
              <w:t>П</w:t>
            </w:r>
            <w:r>
              <w:rPr>
                <w:color w:val="000000"/>
                <w:sz w:val="22"/>
                <w:szCs w:val="22"/>
              </w:rPr>
              <w:t>останова КМУ  від 18.04.2018  № 280 “Питання забезпечення житлом внутрішньо переміщених осіб, які захищали незалежність, суверенітет та територіальну цілісність України“;</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Звільнення від орендної плати за нежилі приміщення, що орендуються особами з інвалідністю внаслідок війни під гаражі для спеціальних засобів пересування (автомобілів, мотоколясок, велоколясок тощо) та безплатне надання для цих засобів гаражів-стоянок незалежно від їх форми власності</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Пункт 24 частини першої статті 13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Стаття 30 Закону України “Про основи соціальної захищеності осіб з інвалідністю в Україні”</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пільгового довгострокового державного кредиту внутрішньо переміщеним особам,учасникам проведення антитерористичної операції (АТО) та/або учасникам проведення операції Об’єднаних сил (ООС) на придбання житла</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державної підтримки для будівництва (придбання) доступного житла</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молодим сім’ям та одиноким молодим громадянам довгострокових пільгових кредитів для будівництва (реконструкції) та придбання житла за рахунок власних коштів (коштів статутного капіталу) Держмолодьжитла</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Протезування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269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Виплата грошової компенсації вартості за самостійно придбані засоби реабілітації</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Протезування та ортезування виробами підвищеної функціональності за новітніми технологіями та технологіями виготовлення, які відсутні в Україні, та/або спеціальними виробами для занять спортом окремих категорій громадян, які втратили функціональні можливості кінцівки або кінцівок</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pPr>
            <w:r>
              <w:rPr>
                <w:color w:val="000000"/>
                <w:sz w:val="22"/>
                <w:szCs w:val="22"/>
                <w:lang w:val="uk-UA"/>
              </w:rPr>
              <w:t>Забезпечення встановлення безкоштовних імплантів вітчизняного виробництва учасникам АТО/ООС в рамках дії заходів обласної програми “Здоров’я населення Дніпропетровщини на 2020 – 2024 роки”,  затверджена рішенням обласної ради від 13.12.2019 № 535-20/</w:t>
            </w:r>
            <w:r>
              <w:rPr>
                <w:color w:val="000000"/>
                <w:sz w:val="22"/>
                <w:szCs w:val="22"/>
              </w:rPr>
              <w:t>VI</w:t>
            </w:r>
            <w:r>
              <w:rPr>
                <w:color w:val="000000"/>
                <w:sz w:val="22"/>
                <w:szCs w:val="22"/>
                <w:lang w:val="uk-UA"/>
              </w:rPr>
              <w:t>І (зі змінами)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333333"/>
                <w:sz w:val="22"/>
                <w:szCs w:val="22"/>
              </w:rPr>
            </w:pPr>
            <w:r>
              <w:rPr>
                <w:color w:val="333333"/>
                <w:sz w:val="22"/>
                <w:szCs w:val="22"/>
              </w:rPr>
              <w:t>Безплатне зубопротезування (за винятком протезування з дорогоцінних металів)</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Закон України "Основи законодавства України про охорону здоров'я";</w:t>
            </w:r>
          </w:p>
          <w:p>
            <w:pPr>
              <w:pStyle w:val="Normal"/>
              <w:widowControl w:val="false"/>
              <w:rPr>
                <w:color w:val="000000"/>
                <w:sz w:val="22"/>
                <w:szCs w:val="22"/>
              </w:rPr>
            </w:pPr>
            <w:r>
              <w:rPr>
                <w:color w:val="000000"/>
                <w:sz w:val="22"/>
                <w:szCs w:val="22"/>
              </w:rPr>
              <w:t>Закон України  "Про державні фінансові гарантії медичного обслуговування населення"</w:t>
            </w:r>
          </w:p>
          <w:p>
            <w:pPr>
              <w:pStyle w:val="Normal"/>
              <w:widowControl w:val="false"/>
              <w:rPr>
                <w:color w:val="000000"/>
                <w:sz w:val="22"/>
                <w:szCs w:val="22"/>
              </w:rPr>
            </w:pPr>
            <w:r>
              <w:rPr>
                <w:color w:val="000000"/>
                <w:sz w:val="22"/>
                <w:szCs w:val="22"/>
              </w:rPr>
              <w:t>Постанова КМУ від 17 серпня 1998 року №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r>
      <w:tr>
        <w:trPr>
          <w:trHeight w:val="664" w:hRule="atLeast"/>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333333"/>
                <w:sz w:val="22"/>
                <w:szCs w:val="22"/>
              </w:rPr>
            </w:pPr>
            <w:r>
              <w:rPr>
                <w:color w:val="333333"/>
                <w:sz w:val="22"/>
                <w:szCs w:val="22"/>
              </w:rPr>
              <w:t>Безплатне виготовлення і ремонт зубних протезів (крім виготовлених з дорогоцінних металів);</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п.5 частини першої статті 16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Закон України "Основи законодавства України про охорону здоров'я";</w:t>
            </w:r>
          </w:p>
          <w:p>
            <w:pPr>
              <w:pStyle w:val="Normal"/>
              <w:widowControl w:val="false"/>
              <w:rPr>
                <w:color w:val="000000"/>
                <w:sz w:val="22"/>
                <w:szCs w:val="22"/>
              </w:rPr>
            </w:pPr>
            <w:r>
              <w:rPr>
                <w:color w:val="000000"/>
                <w:sz w:val="22"/>
                <w:szCs w:val="22"/>
              </w:rPr>
              <w:t>Закон України  «Про державні соціальні стандарти та державні соціальні гарантії»;</w:t>
            </w:r>
          </w:p>
          <w:p>
            <w:pPr>
              <w:pStyle w:val="Normal"/>
              <w:widowControl w:val="false"/>
              <w:rPr>
                <w:color w:val="000000"/>
                <w:sz w:val="22"/>
                <w:szCs w:val="22"/>
              </w:rPr>
            </w:pPr>
            <w:r>
              <w:rPr>
                <w:color w:val="000000"/>
                <w:sz w:val="22"/>
                <w:szCs w:val="22"/>
              </w:rPr>
              <w:t>Закон України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w:t>
            </w:r>
          </w:p>
          <w:p>
            <w:pPr>
              <w:pStyle w:val="Normal"/>
              <w:widowControl w:val="false"/>
              <w:rPr>
                <w:color w:val="000000"/>
                <w:sz w:val="22"/>
                <w:szCs w:val="22"/>
              </w:rPr>
            </w:pPr>
            <w:r>
              <w:rPr>
                <w:color w:val="000000"/>
                <w:sz w:val="22"/>
                <w:szCs w:val="22"/>
              </w:rPr>
              <w:t>Закон України "Про місцеве самоврядування в Україні"</w:t>
            </w:r>
          </w:p>
          <w:p>
            <w:pPr>
              <w:pStyle w:val="Normal"/>
              <w:widowControl w:val="false"/>
              <w:rPr>
                <w:color w:val="000000"/>
                <w:sz w:val="22"/>
                <w:szCs w:val="22"/>
              </w:rPr>
            </w:pPr>
            <w:r>
              <w:rPr>
                <w:color w:val="000000"/>
                <w:sz w:val="22"/>
                <w:szCs w:val="22"/>
              </w:rPr>
              <w:t>Постанова Кабінету Міністрів України від 4 червня 2015 р. № 389  Про затвердження Порядку надання пільг окремим категоріям громадян з урахуванням середньомісячного сукупного доходу сім’ї"</w:t>
            </w:r>
          </w:p>
          <w:p>
            <w:pPr>
              <w:pStyle w:val="Normal"/>
              <w:widowControl w:val="false"/>
              <w:rPr>
                <w:color w:val="000000"/>
                <w:sz w:val="22"/>
                <w:szCs w:val="22"/>
              </w:rPr>
            </w:pPr>
            <w:r>
              <w:rPr>
                <w:color w:val="000000"/>
                <w:sz w:val="22"/>
                <w:szCs w:val="22"/>
              </w:rPr>
              <w:t>Окремі порядки, затверджені органами місцевого самоврядування</w:t>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Санаторно-курортне лікування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учасникам бойових дій та особам, прирівняним до них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п.3 частини першої статті 12, частина третя статті 16-1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17 червня 2004 р. № 785 "Про затвердження Порядку виплати грошової компенсації вартості санаторно-курортного лікування деяким категоріям громадян";</w:t>
            </w:r>
          </w:p>
          <w:p>
            <w:pPr>
              <w:pStyle w:val="Normal"/>
              <w:widowControl w:val="false"/>
              <w:rPr>
                <w:color w:val="000000"/>
                <w:sz w:val="22"/>
                <w:szCs w:val="22"/>
              </w:rPr>
            </w:pPr>
            <w:r>
              <w:rPr>
                <w:color w:val="000000"/>
                <w:sz w:val="22"/>
                <w:szCs w:val="22"/>
              </w:rPr>
              <w:t>Постанова Кабінету Міністрів України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Надання особам з інвалідністю внаслідок війни та прирівняним до них особам пільги на безплатне позачергове щорічне забезпечення санаторно-курортним лікуванням з компенсацією вартості проїзду до санаторно-курортного закладу і назад</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п.3 частини першої статті 13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17 червня 2004 р. № 785 "Про затвердження Порядку виплати  грошової компенсації вартості санаторно-курортного лікування деяким категоріям громадян";</w:t>
            </w:r>
          </w:p>
          <w:p>
            <w:pPr>
              <w:pStyle w:val="Normal"/>
              <w:widowControl w:val="false"/>
              <w:rPr>
                <w:color w:val="000000"/>
                <w:sz w:val="22"/>
                <w:szCs w:val="22"/>
              </w:rPr>
            </w:pPr>
            <w:r>
              <w:rPr>
                <w:color w:val="000000"/>
                <w:sz w:val="22"/>
                <w:szCs w:val="22"/>
              </w:rPr>
              <w:t>Постанова Кабінету Міністрів України від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учасникам війни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п.3 частини першої статті 14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Кабінету Міністрів України  від 17 червня 2004 р. № 785 "Про затвердження Порядку виплати  грошової компенсації вартості санаторно-курортного лікування деяким категоріям громадян";</w:t>
            </w:r>
          </w:p>
          <w:p>
            <w:pPr>
              <w:pStyle w:val="Normal"/>
              <w:widowControl w:val="false"/>
              <w:rPr/>
            </w:pPr>
            <w:r>
              <w:rPr>
                <w:color w:val="000000"/>
                <w:sz w:val="22"/>
                <w:szCs w:val="22"/>
              </w:rPr>
              <w:t>Постанова</w:t>
            </w:r>
            <w:r>
              <w:rPr>
                <w:color w:val="EA4335"/>
                <w:sz w:val="22"/>
                <w:szCs w:val="22"/>
              </w:rPr>
              <w:t xml:space="preserve"> </w:t>
            </w:r>
            <w:r>
              <w:rPr>
                <w:color w:val="000000"/>
                <w:sz w:val="22"/>
                <w:szCs w:val="22"/>
              </w:rPr>
              <w:t>Кабінету Міністрів України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Надання сім’ям загиблих (померлих) ветеранів війни  та сім’ям загиблих (померлих) Захисників і Захисниць України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п.3 частини першої статті 15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17 червня 2004 р. № 785  "Про затвердження Порядку виплати  грошової компенсації вартості санаторно-курортного лікування деяким категоріям громадян";</w:t>
            </w:r>
          </w:p>
          <w:p>
            <w:pPr>
              <w:pStyle w:val="Normal"/>
              <w:widowControl w:val="false"/>
              <w:rPr>
                <w:color w:val="000000"/>
                <w:sz w:val="22"/>
                <w:szCs w:val="22"/>
              </w:rPr>
            </w:pPr>
            <w:r>
              <w:rPr>
                <w:color w:val="000000"/>
                <w:sz w:val="22"/>
                <w:szCs w:val="22"/>
              </w:rPr>
              <w:t>Постанова КМУ від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особам, які мають особливі заслуги перед Батьківщиною пільги на безоплатне першочергове забезпечення санаторно-курортним лікуванням</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п.6 частини першої статті 16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22 лютого 2006 р. № 187 "Про затвердження Порядку забезпечення санаторно-курортними путівками деяких категорій громадян структурними підрозділами з питань соціального захисту населення районних, районних у м. Києві держадміністрацій, виконавчими органами міських, районних у містах (у разі їх утворення (крім м. Києва) рад";</w:t>
            </w:r>
          </w:p>
          <w:p>
            <w:pPr>
              <w:pStyle w:val="Normal"/>
              <w:widowControl w:val="false"/>
              <w:rPr>
                <w:color w:val="000000"/>
                <w:sz w:val="22"/>
                <w:szCs w:val="22"/>
              </w:rPr>
            </w:pPr>
            <w:r>
              <w:rPr>
                <w:color w:val="000000"/>
                <w:sz w:val="22"/>
                <w:szCs w:val="22"/>
              </w:rPr>
              <w:t>Постанова КМУ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p>
            <w:pPr>
              <w:pStyle w:val="Normal"/>
              <w:widowControl w:val="false"/>
              <w:rPr>
                <w:color w:val="000000"/>
                <w:sz w:val="22"/>
                <w:szCs w:val="22"/>
              </w:rPr>
            </w:pPr>
            <w:r>
              <w:rPr>
                <w:color w:val="000000"/>
                <w:sz w:val="22"/>
                <w:szCs w:val="22"/>
              </w:rPr>
              <w:t>Постанова КМУ від 27 квітня 2011 р. № 446 "Про затвердження Порядку забезпечення санаторно-курортними путівками до санаторно-курортних  закладів військовослужбовців, ветеранів війни, ветеранів  військової служби, органів внутрішніх справ  та деяких інших категорій осіб і членів їх сімей"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279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Пункт 3 частини першої статті 13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Постанова Кабінетом Міністрів України  від 17 червня 2004 р. № 785  "Про затвердження Порядку виплати  грошової компенсації вартості санаторно-курортного лікування деяким категоріям громадян";</w:t>
            </w:r>
          </w:p>
          <w:p>
            <w:pPr>
              <w:pStyle w:val="Normal"/>
              <w:widowControl w:val="false"/>
              <w:rPr>
                <w:sz w:val="22"/>
                <w:szCs w:val="22"/>
              </w:rPr>
            </w:pPr>
            <w:r>
              <w:rPr>
                <w:sz w:val="22"/>
                <w:szCs w:val="22"/>
              </w:rPr>
              <w:t>Закон України "Про реабілітацію осіб з інвалідністю в Україні";</w:t>
            </w:r>
          </w:p>
          <w:p>
            <w:pPr>
              <w:pStyle w:val="Normal"/>
              <w:widowControl w:val="false"/>
              <w:rPr>
                <w:sz w:val="22"/>
                <w:szCs w:val="22"/>
              </w:rPr>
            </w:pPr>
            <w:r>
              <w:rPr>
                <w:sz w:val="22"/>
                <w:szCs w:val="22"/>
              </w:rPr>
              <w:t>Постанова Кабінету Міністрів України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Пункт 3 частини першої статті 13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Постанова Кабінетом Міністрів України  від 17 червня 2004 р. № 785  "Про затвердження Порядку виплати  грошової компенсації вартості санаторно-курортного лікування деяким категоріям громадян"</w:t>
            </w:r>
          </w:p>
          <w:p>
            <w:pPr>
              <w:pStyle w:val="Normal"/>
              <w:widowControl w:val="false"/>
              <w:rPr>
                <w:sz w:val="22"/>
                <w:szCs w:val="22"/>
              </w:rPr>
            </w:pPr>
            <w:r>
              <w:rPr>
                <w:sz w:val="22"/>
                <w:szCs w:val="22"/>
              </w:rPr>
              <w:t>Закон України "Про реабілітацію осіб з інвалідністю в Україні"</w:t>
            </w:r>
          </w:p>
          <w:p>
            <w:pPr>
              <w:pStyle w:val="Normal"/>
              <w:widowControl w:val="false"/>
              <w:rPr>
                <w:sz w:val="22"/>
                <w:szCs w:val="22"/>
              </w:rPr>
            </w:pPr>
            <w:r>
              <w:rPr>
                <w:sz w:val="22"/>
                <w:szCs w:val="22"/>
              </w:rPr>
              <w:t>Постанова Кабінетом Міністрів України від 31 березня 2015 р. № 200 "Про затвердження Порядку використання коштів, передбачених у державному бюджеті на забезпечення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сімей загиблих (померлих) таких осіб санаторно-курортним лікуванням"</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Забезпечення санаторно-курортними путівками постраждалих учасників Революції Гідності, ветеранів війни з числа учасників антитерористичної операції/операції Об’єднаних сил, членів сімей загиблих (померлих) таких осіб</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lang w:val="uk-UA"/>
              </w:rPr>
            </w:pPr>
            <w:r>
              <w:rPr>
                <w:color w:val="000000"/>
                <w:sz w:val="22"/>
                <w:szCs w:val="22"/>
                <w:lang w:val="uk-UA"/>
              </w:rPr>
              <w:t>Постанова Кабінету Міністрів України від 27 грудня 2017 р. № 1057 "Про затвердження Порядку проведення психологічної реабілітації постраждалих учасників Революції Гідності, учасників антитерористичної операції та осіб, які 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 членів їх сімей та членів сімей загиблих (померлих) таких осіб"</w:t>
            </w:r>
          </w:p>
          <w:p>
            <w:pPr>
              <w:pStyle w:val="Normal"/>
              <w:widowControl w:val="false"/>
              <w:rPr>
                <w:color w:val="000000"/>
                <w:sz w:val="22"/>
                <w:szCs w:val="22"/>
                <w:lang w:val="uk-UA"/>
              </w:rPr>
            </w:pPr>
            <w:r>
              <w:rPr>
                <w:color w:val="000000"/>
                <w:sz w:val="22"/>
                <w:szCs w:val="22"/>
                <w:lang w:val="uk-UA"/>
              </w:rPr>
              <w:t>Постанова Кабінету Міністрів України від 10 травня 2022 р. № 587 "Про внесення змін до порядків, затверджених постановами Кабінету Міністрів України від 12 липня 2017 р. № 497 і від 27 грудня 2017 р. № 1057"</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Оздоровлення та санаторно-курортне лікування вдів разом з дітьми віком від 3 до 7 років,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Діагностика та лікування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пільги на безплатне одержання ліків, лікарських засобів, імунобіологічних препаратів та виробів медичного призначення за рецептами лікарів</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п.1 частини першої статті  13 , 14, 15 , п.4 частини першої статті  16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Закон України "Основи законодавства України про охорону здоров'я";</w:t>
            </w:r>
          </w:p>
          <w:p>
            <w:pPr>
              <w:pStyle w:val="Normal"/>
              <w:widowControl w:val="false"/>
              <w:rPr>
                <w:color w:val="000000"/>
                <w:sz w:val="22"/>
                <w:szCs w:val="22"/>
              </w:rPr>
            </w:pPr>
            <w:r>
              <w:rPr>
                <w:color w:val="000000"/>
                <w:sz w:val="22"/>
                <w:szCs w:val="22"/>
              </w:rPr>
              <w:t>Закон України  "Про державні фінансові гарантії медичного обслуговування населення"</w:t>
            </w:r>
          </w:p>
          <w:p>
            <w:pPr>
              <w:pStyle w:val="Normal"/>
              <w:widowControl w:val="false"/>
              <w:rPr>
                <w:color w:val="000000"/>
                <w:sz w:val="22"/>
                <w:szCs w:val="22"/>
              </w:rPr>
            </w:pPr>
            <w:r>
              <w:rPr>
                <w:color w:val="000000"/>
                <w:sz w:val="22"/>
                <w:szCs w:val="22"/>
              </w:rPr>
              <w:t>Постанова КМУ від 17 серпня 1998 року №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Направлення осіб із складових сил оборони та сил безпеки, постраждалих у зв’язку з військовою агресією Російської Федерації проти України, на лікування за кордон</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sz w:val="22"/>
                <w:szCs w:val="22"/>
                <w:lang w:val="uk-UA"/>
              </w:rPr>
              <w:t xml:space="preserve">Постанова Кабінету Міністрів України від 5 квітня 2022 р. № 411 "Про забезпечення організації направлення осіб із складових сил оборони та сил безпеки, постраждалих у зв’язку з військовою агресією </w:t>
            </w:r>
            <w:r>
              <w:rPr>
                <w:sz w:val="22"/>
                <w:szCs w:val="22"/>
              </w:rPr>
              <w:t>Російської Федерації проти України, на лікування за кордон"</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Реабілітаційна допомога дорослим та дітям у стаціонарних умовах</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p>
            <w:pPr>
              <w:pStyle w:val="Normal"/>
              <w:widowControl w:val="false"/>
              <w:snapToGrid w:val="false"/>
              <w:rPr>
                <w:sz w:val="22"/>
                <w:szCs w:val="22"/>
              </w:rPr>
            </w:pPr>
            <w:r>
              <w:rPr>
                <w:sz w:val="22"/>
                <w:szCs w:val="22"/>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Поховання</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Безоплатне поховання з військовими почестями померлих (загиблих) осіб</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Пункт "а" частини першої статті 14 Закону України "Про поховання та похоронну справу";</w:t>
            </w:r>
          </w:p>
          <w:p>
            <w:pPr>
              <w:pStyle w:val="Normal"/>
              <w:widowControl w:val="false"/>
              <w:rPr>
                <w:sz w:val="22"/>
                <w:szCs w:val="22"/>
              </w:rPr>
            </w:pPr>
            <w:r>
              <w:rPr>
                <w:sz w:val="22"/>
                <w:szCs w:val="22"/>
              </w:rPr>
              <w:t>Підпункт 1 пункту 3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 затвердженого постановою Кабінету Міністрів України від 28 жовтня 2004 р. № 1445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Безоплатне поховання померлих (загиблих) осіб</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Пункти "в" та "г" частини першої статті 14 Закону України "Про поховання та похоронну справу";</w:t>
            </w:r>
          </w:p>
          <w:p>
            <w:pPr>
              <w:pStyle w:val="Normal"/>
              <w:widowControl w:val="false"/>
              <w:rPr>
                <w:sz w:val="22"/>
                <w:szCs w:val="22"/>
              </w:rPr>
            </w:pPr>
            <w:r>
              <w:rPr>
                <w:sz w:val="22"/>
                <w:szCs w:val="22"/>
              </w:rPr>
              <w:t>Підпункт 2 пункту 3 Порядку проведення безоплатного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 затвердженого постановою Кабінету Міністрів України від 28 жовтня 2004 р. № 1445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Безоплатне поховання з військовими почестями померлих (загиблих) осіб</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Громадський сектор</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289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Надання фінансової підтримки громадським об’єднанням ветеранів в рамках дії заходів обласної програми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Частина друга статті 20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Постанова Кабінету Міністрів України від 14 лютого 2018 р. № 156 "Деякі питання надання фінансової підтримки громадським об’єднанням ветеранів"</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Звільнення громадських об'єднань ветеранів війни від плати за користування комунальними послугами в межах середніх норм споживання, телефоном у приміщеннях та будинках, які вони займають</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Частина друга статті 20 Закону України "Про статус ветеранів війни, гарантії їх соціального захисту";</w:t>
            </w:r>
          </w:p>
          <w:p>
            <w:pPr>
              <w:pStyle w:val="Normal"/>
              <w:widowControl w:val="false"/>
              <w:snapToGrid w:val="false"/>
              <w:rPr>
                <w:sz w:val="22"/>
                <w:szCs w:val="22"/>
              </w:rPr>
            </w:pPr>
            <w:r>
              <w:rPr>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Отримання громадськими об'єднаннями ветеранів війни безплатно приміщень для здійснення статутних завдань</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Частина друга статті 20 Закону України "Про статус ветеранів війни, гарантії їх соціального захисту"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Підтримка громадських об’єднань із статусом юридичної особи (громадських організацій або громадських спілок), діяльність яких спрямована на захист прав і свобод, задоволення суспільних, економічних, соціальних, культурних та інших інтересів ветеранів та членів їх сімей в рамках конкурсної програми “Варто + ГО” за рахунок фінансування Українського ветеранського фонду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Податковий кодекс України</w:t>
            </w:r>
          </w:p>
          <w:p>
            <w:pPr>
              <w:pStyle w:val="Normal"/>
              <w:widowControl w:val="false"/>
              <w:rPr>
                <w:color w:val="000000"/>
                <w:sz w:val="22"/>
                <w:szCs w:val="22"/>
              </w:rPr>
            </w:pPr>
            <w:r>
              <w:rPr>
                <w:color w:val="000000"/>
                <w:sz w:val="22"/>
                <w:szCs w:val="22"/>
              </w:rPr>
              <w:t>Закон України «Про громадські об’єднання»</w:t>
            </w:r>
          </w:p>
          <w:p>
            <w:pPr>
              <w:pStyle w:val="Normal"/>
              <w:widowControl w:val="false"/>
              <w:rPr>
                <w:color w:val="000000"/>
                <w:sz w:val="22"/>
                <w:szCs w:val="22"/>
              </w:rPr>
            </w:pPr>
            <w:r>
              <w:rPr>
                <w:color w:val="000000"/>
                <w:sz w:val="22"/>
                <w:szCs w:val="22"/>
              </w:rPr>
              <w:t>Порядок використання коштів, передбачених у державному бюджеті для функціонування Українського ветеранського фонду, затверджений постановою КМУ від 11.03.2022 № 256</w:t>
            </w:r>
          </w:p>
          <w:p>
            <w:pPr>
              <w:pStyle w:val="Normal"/>
              <w:widowControl w:val="false"/>
              <w:rPr>
                <w:color w:val="000000"/>
                <w:sz w:val="22"/>
                <w:szCs w:val="22"/>
              </w:rPr>
            </w:pPr>
            <w:r>
              <w:rPr>
                <w:color w:val="000000"/>
                <w:sz w:val="22"/>
                <w:szCs w:val="22"/>
              </w:rPr>
              <w:t>Порядок ведення Реєстру неприбуткових установ та організацій, включення неприбуткових підприємств, установ та організацій до Реєстру та виключення з Реєстру, затверджений постановою КМУ від 13.07.2016 № 440</w:t>
            </w:r>
          </w:p>
          <w:p>
            <w:pPr>
              <w:pStyle w:val="Normal"/>
              <w:widowControl w:val="false"/>
              <w:rPr>
                <w:color w:val="000000"/>
                <w:sz w:val="22"/>
                <w:szCs w:val="22"/>
              </w:rPr>
            </w:pPr>
            <w:r>
              <w:rPr>
                <w:color w:val="000000"/>
                <w:sz w:val="22"/>
                <w:szCs w:val="22"/>
              </w:rPr>
              <w:t>Порядок надання відомостей з Єдиного державного реєстру юридичних осіб, фізичних осіб – підприємців та громадських формувань, затверджений наказом Міністерства юстиції України від 10.06.2016 № 1657/5 та зареєстрований в Міністерстві юстиції України 10.06.2016 за № 839/28969</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sz w:val="22"/>
                <w:szCs w:val="22"/>
              </w:rPr>
            </w:pPr>
            <w:r>
              <w:rPr>
                <w:sz w:val="22"/>
                <w:szCs w:val="22"/>
              </w:rPr>
              <w:t>Державна реєстрація громадських формувань</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color w:val="000000"/>
                <w:sz w:val="22"/>
                <w:szCs w:val="22"/>
                <w:lang w:val="uk-UA"/>
              </w:rPr>
              <w:t xml:space="preserve">Закон України "Про об`єднання громадян", Закон України "Про державну реєстрацію юридичних осіб та фізичних осіб - підприємців",  Положення про порядок легалізації об’єднань громадян, затверджене постановою Кабінету Міністрів України від 26 лютого 1993 р. </w:t>
            </w:r>
            <w:r>
              <w:rPr>
                <w:color w:val="000000"/>
                <w:sz w:val="22"/>
                <w:szCs w:val="22"/>
              </w:rPr>
              <w:t>N</w:t>
            </w:r>
            <w:r>
              <w:rPr>
                <w:color w:val="000000"/>
                <w:sz w:val="22"/>
                <w:szCs w:val="22"/>
                <w:lang w:val="uk-UA"/>
              </w:rPr>
              <w:t xml:space="preserve"> 140, Регламент передачі Міністерством юстиції та його територіальними органами державним реєстраторам даних про юридичних осіб, затверджений Наказом Державного комітету України з питань регуляторної політики та підприємництва, Міністерства юстиції України від 27 лютого 2007 року </w:t>
            </w:r>
            <w:r>
              <w:rPr>
                <w:color w:val="000000"/>
                <w:sz w:val="22"/>
                <w:szCs w:val="22"/>
              </w:rPr>
              <w:t>N</w:t>
            </w:r>
            <w:r>
              <w:rPr>
                <w:color w:val="000000"/>
                <w:sz w:val="22"/>
                <w:szCs w:val="22"/>
                <w:lang w:val="uk-UA"/>
              </w:rPr>
              <w:t xml:space="preserve"> 23/74/5.</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Реєстрація змін, що вносяться до статутних документів громадських об’єднань</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Закон України "Про об`єднання громадян", Закон України "Про державну реєстрацію юридичних осіб та фізичних осіб - підприємців",  Положення про порядок легалізації об’єднань громадян, затверджене постановою Кабінету Міністрів України від 26 лютого 1993 р. N 140, Регламент передачі Міністерством юстиції та його територіальними органами державним реєстраторам даних про юридичних осіб, затверджений Наказом Державного комітету України з питань регуляторної політики та підприємництва, Міністерства юстиції України від 27 лютого 2007 року N 23/74/5.</w:t>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Матеріальна допомога /виплати</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та збройного конфлікту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Частина третя статті 6 Закону України "Про волонтерську діяльність";</w:t>
            </w:r>
          </w:p>
          <w:p>
            <w:pPr>
              <w:pStyle w:val="Normal"/>
              <w:widowControl w:val="false"/>
              <w:rPr>
                <w:color w:val="000000"/>
                <w:sz w:val="22"/>
                <w:szCs w:val="22"/>
              </w:rPr>
            </w:pPr>
            <w:r>
              <w:rPr>
                <w:color w:val="000000"/>
                <w:sz w:val="22"/>
                <w:szCs w:val="22"/>
              </w:rPr>
              <w:t>постанова КМУ від 19.08.2015 № 604 "Деякі питання виплати одноразової грошової допомоги у разі загибелі (смерті) або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та збройного конфлікту"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pPr>
            <w:r>
              <w:rPr>
                <w:color w:val="000000"/>
                <w:sz w:val="22"/>
                <w:szCs w:val="22"/>
                <w:lang w:val="uk-UA"/>
              </w:rPr>
              <w:t xml:space="preserve">Призначення одноразової грошової допомоги в разі загибелі (смерті) або інвалідності внаслідок поранення, контузії, каліцтва або захворювання, одержаних під час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заходах, необхідних для забезпечення оборони України, захисту безпеки населення та інтересів держави у зв’язку з військовою агресію </w:t>
            </w:r>
            <w:r>
              <w:rPr>
                <w:color w:val="000000"/>
                <w:sz w:val="22"/>
                <w:szCs w:val="22"/>
              </w:rPr>
              <w:t>Російської Федерації проти України, деяких категорій осіб</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Частини сьомі статей 13 та 15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Порядок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 затверджений постановою Кабінету Міністрів України від 29.04.2016 № 336</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Призначення та виплата одноразової грошової допомоги у разі загибелі (смерті) військовослужбовців Збройних Сил України в період дії воєнного стану</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Частини сьомі статей 13 та 15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Порядок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 затверджений постановою Кабінету Міністрів України від 29.04.2016 № 336</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Надання щорічної до 5 травня виплати разової грошової допомоги учасникам бойових дій, постраждалим учасникам Революції Гідності, особам з інвалідністю внаслідок війни, учасникам війни, сім’ям загиблих (померлих) ветеранів війни, Захисників і Захисниць України та особам, які мають особливі заслуги перед Батьківщиною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Частина 7 статті 20 Бюджетного Кодексу України;</w:t>
            </w:r>
          </w:p>
          <w:p>
            <w:pPr>
              <w:pStyle w:val="Normal"/>
              <w:widowControl w:val="false"/>
              <w:rPr/>
            </w:pPr>
            <w:r>
              <w:rPr>
                <w:sz w:val="22"/>
                <w:szCs w:val="22"/>
              </w:rPr>
              <w:t>Частини п'яті статтей 12-1</w:t>
            </w:r>
            <w:r>
              <w:rPr>
                <w:strike/>
                <w:sz w:val="22"/>
                <w:szCs w:val="22"/>
              </w:rPr>
              <w:t>6</w:t>
            </w:r>
            <w:r>
              <w:rPr>
                <w:sz w:val="22"/>
                <w:szCs w:val="22"/>
              </w:rPr>
              <w:t>5, пункт 1 частини першої статті 16, частина третя статті 16-1 Закону України “Про статус ветеранів війни, гарантії їх соціального захисту”;</w:t>
            </w:r>
          </w:p>
          <w:p>
            <w:pPr>
              <w:pStyle w:val="Normal"/>
              <w:widowControl w:val="false"/>
              <w:rPr>
                <w:sz w:val="22"/>
                <w:szCs w:val="22"/>
              </w:rPr>
            </w:pPr>
            <w:r>
              <w:rPr>
                <w:sz w:val="22"/>
                <w:szCs w:val="22"/>
              </w:rPr>
              <w:t>Постанова КМУ від 07.05.2022 № 540 “Деякі питання виплати у 2022 році разової грошової допомоги, передбаченої Законами України “Про статус ветеранів війни, гарантії їх соціального захисту” і “Про жертви нацистських переслідувань”</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299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Надбавка до пенсій або щомісячного довічного грошового утримання чи державної соціальної допомоги, що виплачується замість пенсії</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Частина четверта статті 12, частина четверта статті 13, частина четверта статті 14, частина четверта статті 15, пункт 1 частини 1 статті 16, частина третя статті 16-1 Закону України “Про статус ветеранів війни, гарантії їх соціального захисту”</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sz w:val="22"/>
                <w:szCs w:val="22"/>
                <w:lang w:val="uk-UA"/>
              </w:rPr>
            </w:pPr>
            <w:r>
              <w:rPr>
                <w:sz w:val="22"/>
                <w:szCs w:val="22"/>
                <w:lang w:val="uk-UA"/>
              </w:rPr>
              <w:t>Виплата компенсації на бензин (пальне), ремонт, технічне обслуговування автомобілів особам з інвалідністю внаслідок війни та особам, які мають особливі заслуги перед Україною</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t>Стаття 28 Закону України "Про реабілітацію осіб з  інвалідністю в Україні";</w:t>
            </w:r>
          </w:p>
          <w:p>
            <w:pPr>
              <w:pStyle w:val="Normal"/>
              <w:widowControl w:val="false"/>
              <w:rPr>
                <w:sz w:val="22"/>
                <w:szCs w:val="22"/>
              </w:rPr>
            </w:pPr>
            <w:r>
              <w:rPr>
                <w:sz w:val="22"/>
                <w:szCs w:val="22"/>
              </w:rPr>
              <w:t>Пункт 22 частини першої статті 13, пункти 18, 26  частини першої статті 16 Закон України “Про статус ветеранів війни, гарантії їх соціального захисту”;</w:t>
            </w:r>
          </w:p>
          <w:p>
            <w:pPr>
              <w:pStyle w:val="Normal"/>
              <w:widowControl w:val="false"/>
              <w:rPr>
                <w:sz w:val="22"/>
                <w:szCs w:val="22"/>
              </w:rPr>
            </w:pPr>
            <w:r>
              <w:rPr>
                <w:sz w:val="22"/>
                <w:szCs w:val="22"/>
              </w:rPr>
              <w:t>Порядок виплати грошових компенсацій на бензин, ремонт і технічне обслуговування автомобілів та на транспортне обслуговування, затверджений постановою КМУ від 14.02.2007 № 228</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pPr>
            <w:r>
              <w:rPr>
                <w:sz w:val="22"/>
                <w:szCs w:val="22"/>
                <w:lang w:val="uk-UA"/>
              </w:rPr>
              <w:t>Надання допомоги незахищеним верствам населення та особам,які опинилися у складних  життєвих обставинах, р рамках дії заходів обласної програми Комплексна програма соціального захисту населення Дніпропет-ровської області на 2020 – 2024 роки, за-тверджена рішенням Дніпропетровської обла-сної ради від 13.12.2019 №534-20/</w:t>
            </w:r>
            <w:r>
              <w:rPr>
                <w:sz w:val="22"/>
                <w:szCs w:val="22"/>
              </w:rPr>
              <w:t>V</w:t>
            </w:r>
            <w:r>
              <w:rPr>
                <w:sz w:val="22"/>
                <w:szCs w:val="22"/>
                <w:lang w:val="uk-UA"/>
              </w:rPr>
              <w:t>ІІ 9 (зі зміна-ми)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302</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pPr>
            <w:r>
              <w:rPr>
                <w:sz w:val="22"/>
                <w:szCs w:val="22"/>
                <w:lang w:val="uk-UA"/>
              </w:rPr>
              <w:t>Надання щомісячної соціальної матеріальної допомоги в рамках дії заходів обласної програми Комплексна програма соціального захисту населення Дніпропетровської області на 2020 – 2024 роки, затверджена рішенням Дніпропетровської обласної ради від 13.12.2019 №534-20/</w:t>
            </w:r>
            <w:r>
              <w:rPr>
                <w:sz w:val="22"/>
                <w:szCs w:val="22"/>
              </w:rPr>
              <w:t>V</w:t>
            </w:r>
            <w:r>
              <w:rPr>
                <w:sz w:val="22"/>
                <w:szCs w:val="22"/>
                <w:lang w:val="uk-UA"/>
              </w:rPr>
              <w:t>ІІ 9 (зі змінами)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303</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sz w:val="22"/>
                <w:szCs w:val="22"/>
                <w:lang w:val="uk-UA"/>
              </w:rPr>
            </w:pPr>
            <w:r>
              <w:rPr>
                <w:sz w:val="22"/>
                <w:szCs w:val="22"/>
                <w:lang w:val="uk-UA"/>
              </w:rPr>
              <w:t>Надання одноразової адресної грошової допомоги на компенсацію витрат, пов’язаних із розроблення проєктів землеустрою після отримання земельної ділянки у власність,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65" w:type="dxa"/>
            <w:tcBorders>
              <w:top w:val="single" w:sz="4" w:space="0" w:color="000000"/>
              <w:left w:val="single" w:sz="4" w:space="0" w:color="000000"/>
              <w:bottom w:val="single" w:sz="4" w:space="0" w:color="000000"/>
              <w:right w:val="single" w:sz="4" w:space="0" w:color="000000"/>
            </w:tcBorders>
          </w:tcPr>
          <w:p>
            <w:pPr>
              <w:pStyle w:val="Style32"/>
              <w:widowControl w:val="false"/>
              <w:snapToGrid w:val="false"/>
              <w:spacing w:lineRule="auto" w:line="240" w:before="0" w:after="0"/>
              <w:rPr>
                <w:rFonts w:ascii="Times New Roman" w:hAnsi="Times New Roman" w:cs="Times New Roman"/>
                <w:sz w:val="22"/>
                <w:szCs w:val="22"/>
              </w:rPr>
            </w:pPr>
            <w:r>
              <w:rPr>
                <w:rFonts w:cs="Times New Roman" w:ascii="Times New Roman" w:hAnsi="Times New Roman"/>
                <w:sz w:val="22"/>
                <w:szCs w:val="22"/>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Транспортні послуги</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304</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pPr>
            <w:r>
              <w:rPr>
                <w:color w:val="000000"/>
                <w:sz w:val="22"/>
                <w:szCs w:val="22"/>
                <w:lang w:val="uk-UA"/>
              </w:rPr>
              <w:t xml:space="preserve">проїзд один раз на рік (туди і назад) залізничним, водним, повітряним або міжміським автомобільним транспортом для осіб з інвалідністю внаслідок війни </w:t>
            </w:r>
            <w:r>
              <w:rPr>
                <w:color w:val="000000"/>
                <w:sz w:val="22"/>
                <w:szCs w:val="22"/>
              </w:rPr>
              <w:t>I</w:t>
            </w:r>
            <w:r>
              <w:rPr>
                <w:color w:val="000000"/>
                <w:sz w:val="22"/>
                <w:szCs w:val="22"/>
                <w:lang w:val="uk-UA"/>
              </w:rPr>
              <w:t xml:space="preserve"> і </w:t>
            </w:r>
            <w:r>
              <w:rPr>
                <w:color w:val="000000"/>
                <w:sz w:val="22"/>
                <w:szCs w:val="22"/>
              </w:rPr>
              <w:t>II</w:t>
            </w:r>
            <w:r>
              <w:rPr>
                <w:color w:val="000000"/>
                <w:sz w:val="22"/>
                <w:szCs w:val="22"/>
                <w:lang w:val="uk-UA"/>
              </w:rPr>
              <w:t xml:space="preserve"> груп, осіб, які супроводжуюьб особу з інвалідністю внаслідок війни І групи(не більше 1 супроводжуючого),</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Пункт 21 частини першої статті 13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02.01.1995 № 1 “Про доповнення постанови Кабінету Міністрів України від 12 травня 1994 р. № 302”;</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КМУ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305</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безплатний проїзд один раз на два роки (туди і назад) залізничним, водним, повітряним або міжміським автомобільним транспортом незалежно від наявності залізничного сполучення або проїзду один раз на рік (туди і назад) зазначеними видами транспорту з 50-процентною знижкою вартості проїзду для осіб з інвалідністю внаслідок війни III групи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color w:val="000000"/>
                <w:sz w:val="22"/>
                <w:szCs w:val="22"/>
              </w:rPr>
            </w:pPr>
            <w:r>
              <w:rPr>
                <w:color w:val="000000"/>
                <w:sz w:val="22"/>
                <w:szCs w:val="22"/>
              </w:rPr>
              <w:t>Пункт 21 частини першої статті 13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02.01.1995 № 1 “Про доповнення постанови Кабінету Міністрів України від 12 травня 1994 р. № 302”;</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КМУ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306</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rPr>
            </w:pPr>
            <w:r>
              <w:rPr>
                <w:color w:val="000000"/>
                <w:sz w:val="22"/>
                <w:szCs w:val="22"/>
              </w:rPr>
              <w:t>безплатний проїзд один раз на два роки (туди і назад) залізничним, водним, повітряним або міжміським автомобільним транспортом незалежно від наявності залізничного сполучення або проїзду один раз на рік (туди і назад) зазначеними видами транспорту з 50-процентною знижкою вартості проїзду для УБД</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pPr>
            <w:r>
              <w:rPr>
                <w:color w:val="000000"/>
                <w:sz w:val="22"/>
                <w:szCs w:val="22"/>
              </w:rPr>
              <w:t>Пункт 17</w:t>
            </w:r>
            <w:r>
              <w:rPr>
                <w:color w:val="EA4335"/>
                <w:sz w:val="22"/>
                <w:szCs w:val="22"/>
              </w:rPr>
              <w:t xml:space="preserve"> </w:t>
            </w:r>
            <w:r>
              <w:rPr>
                <w:color w:val="000000"/>
                <w:sz w:val="22"/>
                <w:szCs w:val="22"/>
              </w:rPr>
              <w:t>частини першої статті 12 Закону України “Про статус ветеранів війни, гарантії їх соціального захисту”;</w:t>
            </w:r>
          </w:p>
          <w:p>
            <w:pPr>
              <w:pStyle w:val="Normal"/>
              <w:widowControl w:val="false"/>
              <w:rPr>
                <w:color w:val="000000"/>
                <w:sz w:val="22"/>
                <w:szCs w:val="22"/>
              </w:rPr>
            </w:pPr>
            <w:r>
              <w:rPr>
                <w:color w:val="000000"/>
                <w:sz w:val="22"/>
                <w:szCs w:val="22"/>
              </w:rPr>
              <w:t>постанова КМУ від 02.01.1995 № 1 “Про доповнення постанови Кабінету Міністрів України від 12 травня 1994 р. № 302”;</w:t>
            </w:r>
          </w:p>
          <w:p>
            <w:pPr>
              <w:pStyle w:val="Normal"/>
              <w:widowControl w:val="false"/>
              <w:rPr>
                <w:color w:val="000000"/>
                <w:sz w:val="22"/>
                <w:szCs w:val="22"/>
              </w:rPr>
            </w:pPr>
            <w:r>
              <w:rPr>
                <w:color w:val="000000"/>
                <w:sz w:val="22"/>
                <w:szCs w:val="22"/>
              </w:rPr>
              <w:t>Положення про порядок видачі посвідчень і нагрудних знаків ветеранів війни, затверджене постановою КМУ від 12.05.1994 № 302</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307</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безплатний проїзд осіб з інвалідністю внаслідок війни та учасників бойових дій усіма видами міського пасажирського транспорту, автомобільним транспортом загального користування в сільській місцевості, а також залізничним і водним транспортом приміського сполучення та автобусами приміських і міжміських маршрутів, у тому числі внутрірайонних, внутрі- та міжобласних незалежно від відстані та місця проживання</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t>Пункти 7 частин перших статтей 12 і 13 Закону України "Про статус ветеранів війни, гарантії їх соціального захисту"</w:t>
            </w:r>
          </w:p>
          <w:p>
            <w:pPr>
              <w:pStyle w:val="Normal"/>
              <w:widowControl w:val="false"/>
              <w:rPr>
                <w:sz w:val="22"/>
                <w:szCs w:val="22"/>
              </w:rPr>
            </w:pPr>
            <w:r>
              <w:rPr>
                <w:sz w:val="22"/>
                <w:szCs w:val="22"/>
              </w:rPr>
              <w:t>На підставі посвідчення встановленого зразка, а в разі запровадження автоматизованої системи обліку оплати проїзду - також електронного квитка, який видається на безоплатній основі</w:t>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Оздоровлення та відпочинок дітей</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308</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Організація оздоровлення та відпочинку дітей, які потребують особливої соціальної уваги та підтримки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309</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Оздоровлення та відпочинок дітей, які потребують особливої соціальної уваги та підтримки, і дітей, які прибули із зони проведення антитерористичної операції, у комунальному закладі „Дитячий оздоровчий центр соціальної реабілітації санаторного типу” Перлина Придніпров’я” ДОР”</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310</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Організація культурно-масових заходів, масових спортивних, фізкультурно-оздоровчих та інших реабіліта-ційних заходів,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lang w:val="uk-UA"/>
              </w:rPr>
            </w:pPr>
            <w:r>
              <w:rPr>
                <w:sz w:val="22"/>
                <w:szCs w:val="22"/>
                <w:lang w:val="uk-UA"/>
              </w:rPr>
            </w:r>
          </w:p>
        </w:tc>
      </w:tr>
      <w:tr>
        <w:trPr/>
        <w:tc>
          <w:tcPr>
            <w:tcW w:w="918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ind w:left="0" w:right="0" w:hanging="0"/>
              <w:jc w:val="center"/>
              <w:rPr>
                <w:rFonts w:ascii="Times New Roman" w:hAnsi="Times New Roman" w:cs="Times New Roman"/>
                <w:b/>
                <w:b/>
                <w:bCs/>
                <w:sz w:val="22"/>
                <w:szCs w:val="22"/>
              </w:rPr>
            </w:pPr>
            <w:r>
              <w:rPr>
                <w:rFonts w:cs="Times New Roman"/>
                <w:b/>
                <w:bCs/>
                <w:sz w:val="22"/>
                <w:szCs w:val="22"/>
              </w:rPr>
              <w:t>Земельні ділянки</w:t>
            </w:r>
          </w:p>
        </w:tc>
      </w:tr>
      <w:tr>
        <w:trPr/>
        <w:tc>
          <w:tcPr>
            <w:tcW w:w="62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left"/>
              <w:rPr>
                <w:rFonts w:ascii="Times New Roman" w:hAnsi="Times New Roman" w:cs="Times New Roman"/>
                <w:sz w:val="21"/>
                <w:szCs w:val="21"/>
              </w:rPr>
            </w:pPr>
            <w:r>
              <w:rPr>
                <w:rFonts w:cs="Times New Roman"/>
                <w:sz w:val="21"/>
                <w:szCs w:val="21"/>
              </w:rPr>
              <w:t>311</w:t>
            </w:r>
          </w:p>
        </w:tc>
        <w:tc>
          <w:tcPr>
            <w:tcW w:w="850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ind w:left="0" w:right="0" w:hanging="0"/>
              <w:rPr>
                <w:color w:val="000000"/>
                <w:sz w:val="22"/>
                <w:szCs w:val="22"/>
                <w:lang w:val="uk-UA"/>
              </w:rPr>
            </w:pPr>
            <w:r>
              <w:rPr>
                <w:color w:val="000000"/>
                <w:sz w:val="22"/>
                <w:szCs w:val="22"/>
                <w:lang w:val="uk-UA"/>
              </w:rPr>
              <w:t>Першочергове відведення земельних ділянок для індивідуального житлового будівництва, садівництва і городництва учасникам бойових дій, постраждалим учасникам Революції Гідності, особам з інвалідністю внаслідок війни, учасникам війни, сім’ям загиблих (померлих) ветеранів війни, Захисників і Захисниць України.</w:t>
            </w:r>
          </w:p>
        </w:tc>
        <w:tc>
          <w:tcPr>
            <w:tcW w:w="6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sz w:val="22"/>
                <w:szCs w:val="22"/>
              </w:rPr>
            </w:pPr>
            <w:r>
              <w:rPr>
                <w:sz w:val="22"/>
                <w:szCs w:val="22"/>
              </w:rPr>
            </w:r>
          </w:p>
        </w:tc>
      </w:tr>
    </w:tbl>
    <w:p>
      <w:pPr>
        <w:pStyle w:val="NoSpacing1"/>
        <w:widowControl/>
        <w:tabs>
          <w:tab w:val="clear" w:pos="708"/>
          <w:tab w:val="left" w:pos="1134" w:leader="none"/>
        </w:tabs>
        <w:suppressAutoHyphens w:val="true"/>
        <w:bidi w:val="0"/>
        <w:spacing w:lineRule="auto" w:line="240" w:before="0" w:after="0"/>
        <w:ind w:left="227" w:right="0" w:firstLine="737"/>
        <w:jc w:val="both"/>
        <w:rPr/>
      </w:pPr>
      <w:r>
        <w:rPr>
          <w:rFonts w:cs="Times New Roman" w:ascii="Times New Roman" w:hAnsi="Times New Roman"/>
          <w:sz w:val="24"/>
          <w:szCs w:val="24"/>
          <w:lang w:val="uk-UA"/>
        </w:rPr>
        <w:t>Примітка:</w:t>
      </w:r>
      <w:r>
        <w:rPr>
          <w:rFonts w:cs="Times New Roman" w:ascii="Times New Roman" w:hAnsi="Times New Roman"/>
          <w:color w:val="000000"/>
        </w:rPr>
        <w:t>*</w:t>
      </w:r>
      <w:r>
        <w:rPr>
          <w:rFonts w:cs="Times New Roman" w:ascii="Times New Roman" w:hAnsi="Times New Roman"/>
          <w:color w:val="000000"/>
          <w:sz w:val="24"/>
          <w:szCs w:val="24"/>
        </w:rPr>
        <w:t xml:space="preserve">- послуги будуть надаватись  з моменту підписання Угоди </w:t>
      </w:r>
      <w:r>
        <w:rPr>
          <w:rFonts w:cs="Times New Roman" w:ascii="Times New Roman" w:hAnsi="Times New Roman"/>
          <w:color w:val="000000"/>
          <w:sz w:val="24"/>
          <w:szCs w:val="24"/>
          <w:lang w:val="uk-UA"/>
        </w:rPr>
        <w:t>або Узгодженого рішення між</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lang w:val="uk-UA"/>
        </w:rPr>
        <w:t>уповноваженим органом (суб'єктом надання послуг) та Виконавчим комітетом Нікопольської міської ради.</w:t>
      </w:r>
    </w:p>
    <w:p>
      <w:pPr>
        <w:pStyle w:val="Normal"/>
        <w:tabs>
          <w:tab w:val="clear" w:pos="708"/>
          <w:tab w:val="left" w:pos="7020" w:leader="none"/>
        </w:tabs>
        <w:jc w:val="both"/>
        <w:rPr/>
      </w:pPr>
      <w:r>
        <w:rPr/>
      </w:r>
    </w:p>
    <w:p>
      <w:pPr>
        <w:pStyle w:val="Normal"/>
        <w:tabs>
          <w:tab w:val="clear" w:pos="708"/>
          <w:tab w:val="left" w:pos="7020" w:leader="none"/>
        </w:tabs>
        <w:jc w:val="both"/>
        <w:rPr/>
      </w:pPr>
      <w:r>
        <w:rPr/>
      </w:r>
    </w:p>
    <w:p>
      <w:pPr>
        <w:pStyle w:val="Normal"/>
        <w:tabs>
          <w:tab w:val="clear" w:pos="708"/>
          <w:tab w:val="left" w:pos="7020" w:leader="none"/>
        </w:tabs>
        <w:jc w:val="both"/>
        <w:rPr/>
      </w:pPr>
      <w:r>
        <w:rPr>
          <w:sz w:val="28"/>
          <w:szCs w:val="28"/>
          <w:lang w:eastAsia="ru-RU"/>
        </w:rPr>
        <w:t xml:space="preserve">   </w:t>
      </w:r>
      <w:r>
        <w:rPr>
          <w:sz w:val="28"/>
          <w:szCs w:val="28"/>
          <w:lang w:eastAsia="ru-RU"/>
        </w:rPr>
        <w:t>Начальник відділу «Центр</w:t>
      </w:r>
    </w:p>
    <w:p>
      <w:pPr>
        <w:pStyle w:val="Normal"/>
        <w:tabs>
          <w:tab w:val="clear" w:pos="708"/>
          <w:tab w:val="left" w:pos="7020" w:leader="none"/>
        </w:tabs>
        <w:jc w:val="both"/>
        <w:rPr/>
      </w:pPr>
      <w:r>
        <w:rPr>
          <w:sz w:val="28"/>
          <w:szCs w:val="28"/>
          <w:lang w:eastAsia="ru-RU"/>
        </w:rPr>
        <w:t xml:space="preserve">   </w:t>
      </w:r>
      <w:r>
        <w:rPr>
          <w:sz w:val="28"/>
          <w:szCs w:val="28"/>
          <w:lang w:eastAsia="ru-RU"/>
        </w:rPr>
        <w:t>надання адміністративних</w:t>
      </w:r>
    </w:p>
    <w:p>
      <w:pPr>
        <w:pStyle w:val="Normal"/>
        <w:tabs>
          <w:tab w:val="clear" w:pos="708"/>
          <w:tab w:val="left" w:pos="7020" w:leader="none"/>
        </w:tabs>
        <w:jc w:val="both"/>
        <w:rPr/>
      </w:pPr>
      <w:r>
        <w:rPr>
          <w:lang w:eastAsia="ru-RU"/>
        </w:rPr>
        <w:t xml:space="preserve">   </w:t>
      </w:r>
      <w:r>
        <w:rPr>
          <w:lang w:eastAsia="ru-RU"/>
        </w:rPr>
        <w:t>послуг м. Нікополя»</w:t>
        <w:tab/>
        <w:tab/>
        <w:t>Неля ПРИЙМАК</w:t>
      </w:r>
    </w:p>
    <w:p>
      <w:pPr>
        <w:pStyle w:val="NoSpacing"/>
        <w:spacing w:lineRule="auto" w:line="264"/>
        <w:jc w:val="right"/>
        <w:rPr>
          <w:rFonts w:ascii="Times New Roman" w:hAnsi="Times New Roman" w:cs="Times New Roman"/>
          <w:sz w:val="28"/>
          <w:szCs w:val="28"/>
          <w:lang w:val="uk-UA"/>
        </w:rPr>
      </w:pPr>
      <w:r>
        <w:rPr>
          <w:rFonts w:cs="Times New Roman" w:ascii="Times New Roman" w:hAnsi="Times New Roman"/>
          <w:sz w:val="28"/>
          <w:szCs w:val="28"/>
          <w:lang w:val="uk-UA"/>
        </w:rPr>
      </w:r>
    </w:p>
    <w:p>
      <w:pPr>
        <w:pStyle w:val="NoSpacing"/>
        <w:spacing w:lineRule="auto" w:line="264"/>
        <w:jc w:val="right"/>
        <w:rPr>
          <w:rFonts w:ascii="Times New Roman" w:hAnsi="Times New Roman" w:cs="Times New Roman"/>
          <w:sz w:val="28"/>
          <w:szCs w:val="28"/>
          <w:lang w:val="uk-UA"/>
        </w:rPr>
      </w:pPr>
      <w:r>
        <w:rPr/>
      </w:r>
    </w:p>
    <w:sectPr>
      <w:headerReference w:type="default" r:id="rId4"/>
      <w:type w:val="nextPage"/>
      <w:pgSz w:w="11906" w:h="16838"/>
      <w:pgMar w:left="1701" w:right="566" w:gutter="0" w:header="0" w:top="851"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6"/>
      <w:jc w:val="center"/>
      <w:rPr/>
    </w:pPr>
    <w:r>
      <w:rPr/>
    </w:r>
  </w:p>
</w:hdr>
</file>

<file path=word/settings.xml><?xml version="1.0" encoding="utf-8"?>
<w:settings xmlns:w="http://schemas.openxmlformats.org/wordprocessingml/2006/main">
  <w:zoom w:percent="13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7">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841004"/>
    <w:pPr>
      <w:widowControl/>
      <w:suppressAutoHyphens w:val="true"/>
      <w:bidi w:val="0"/>
      <w:spacing w:before="0" w:after="0"/>
      <w:jc w:val="left"/>
    </w:pPr>
    <w:rPr>
      <w:rFonts w:ascii="Times New Roman" w:hAnsi="Times New Roman" w:eastAsia="Times New Roman" w:cs="Times New Roman"/>
      <w:color w:val="auto"/>
      <w:kern w:val="0"/>
      <w:sz w:val="24"/>
      <w:szCs w:val="24"/>
      <w:lang w:val="uk-UA" w:eastAsia="ru-RU" w:bidi="ar-SA"/>
    </w:rPr>
  </w:style>
  <w:style w:type="paragraph" w:styleId="1">
    <w:name w:val="Heading 1"/>
    <w:basedOn w:val="Normal"/>
    <w:next w:val="Normal"/>
    <w:qFormat/>
    <w:rsid w:val="00e01a16"/>
    <w:pPr>
      <w:keepNext w:val="true"/>
      <w:jc w:val="center"/>
      <w:outlineLvl w:val="0"/>
    </w:pPr>
    <w:rPr>
      <w:b/>
      <w:bCs/>
      <w:sz w:val="36"/>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d14c22"/>
    <w:rPr>
      <w:rFonts w:ascii="Segoe UI" w:hAnsi="Segoe UI" w:eastAsia="Times New Roman" w:cs="Segoe UI"/>
      <w:sz w:val="18"/>
      <w:szCs w:val="18"/>
      <w:lang w:val="uk-UA" w:eastAsia="ru-RU"/>
    </w:rPr>
  </w:style>
  <w:style w:type="character" w:styleId="Style14" w:customStyle="1">
    <w:name w:val="Верх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yle15" w:customStyle="1">
    <w:name w:val="Нижний колонтитул Знак"/>
    <w:basedOn w:val="DefaultParagraphFont"/>
    <w:uiPriority w:val="99"/>
    <w:qFormat/>
    <w:rsid w:val="008221b0"/>
    <w:rPr>
      <w:rFonts w:ascii="Times New Roman" w:hAnsi="Times New Roman" w:eastAsia="Times New Roman" w:cs="Times New Roman"/>
      <w:sz w:val="24"/>
      <w:szCs w:val="24"/>
      <w:lang w:val="uk-UA" w:eastAsia="ru-RU"/>
    </w:rPr>
  </w:style>
  <w:style w:type="character" w:styleId="Strong" w:customStyle="1">
    <w:name w:val="Strong"/>
    <w:qFormat/>
    <w:rPr>
      <w:b/>
      <w:bCs/>
    </w:rPr>
  </w:style>
  <w:style w:type="character" w:styleId="11" w:customStyle="1">
    <w:name w:val="Заголовок 1 Знак"/>
    <w:basedOn w:val="DefaultParagraphFont"/>
    <w:qFormat/>
    <w:rsid w:val="00e01a16"/>
    <w:rPr>
      <w:rFonts w:ascii="Times New Roman" w:hAnsi="Times New Roman" w:eastAsia="Times New Roman" w:cs="Times New Roman"/>
      <w:b/>
      <w:bCs/>
      <w:sz w:val="36"/>
      <w:szCs w:val="24"/>
      <w:lang w:val="uk-UA" w:eastAsia="ru-RU"/>
    </w:rPr>
  </w:style>
  <w:style w:type="character" w:styleId="Style16" w:customStyle="1">
    <w:name w:val="Заголовок Знак"/>
    <w:basedOn w:val="DefaultParagraphFont"/>
    <w:qFormat/>
    <w:rsid w:val="00e01a16"/>
    <w:rPr>
      <w:rFonts w:ascii="Times New Roman" w:hAnsi="Times New Roman" w:eastAsia="Times New Roman" w:cs="Times New Roman"/>
      <w:b/>
      <w:sz w:val="24"/>
      <w:szCs w:val="20"/>
      <w:lang w:val="uk-UA" w:eastAsia="ru-RU"/>
    </w:rPr>
  </w:style>
  <w:style w:type="character" w:styleId="Style17" w:customStyle="1">
    <w:name w:val="Основной текст Знак"/>
    <w:basedOn w:val="DefaultParagraphFont"/>
    <w:qFormat/>
    <w:rsid w:val="00e01a16"/>
    <w:rPr>
      <w:rFonts w:ascii="Times New Roman" w:hAnsi="Times New Roman" w:eastAsia="Times New Roman" w:cs="Times New Roman"/>
      <w:sz w:val="28"/>
      <w:szCs w:val="24"/>
      <w:lang w:val="uk-UA" w:eastAsia="zh-CN"/>
    </w:rPr>
  </w:style>
  <w:style w:type="character" w:styleId="3" w:customStyle="1">
    <w:name w:val="Основной текст (3)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312pt" w:customStyle="1">
    <w:name w:val="Основной текст (3) + 12 pt"/>
    <w:basedOn w:val="3"/>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character" w:styleId="Style18" w:customStyle="1">
    <w:name w:val="Основной текст_"/>
    <w:basedOn w:val="DefaultParagraphFont"/>
    <w:qFormat/>
    <w:rPr>
      <w:rFonts w:ascii="Times New Roman" w:hAnsi="Times New Roman" w:eastAsia="Times New Roman" w:cs="Times New Roman"/>
      <w:b w:val="false"/>
      <w:bCs w:val="false"/>
      <w:i w:val="false"/>
      <w:iCs w:val="false"/>
      <w:caps w:val="false"/>
      <w:smallCaps w:val="false"/>
      <w:strike w:val="false"/>
      <w:dstrike w:val="false"/>
      <w:spacing w:val="0"/>
      <w:sz w:val="27"/>
      <w:szCs w:val="27"/>
    </w:rPr>
  </w:style>
  <w:style w:type="character" w:styleId="12pt" w:customStyle="1">
    <w:name w:val="Основной текст + 12 pt"/>
    <w:basedOn w:val="Style18"/>
    <w:qFormat/>
    <w:rPr>
      <w:rFonts w:ascii="Times New Roman" w:hAnsi="Times New Roman" w:eastAsia="Times New Roman" w:cs="Times New Roman"/>
      <w:b w:val="false"/>
      <w:bCs w:val="false"/>
      <w:i w:val="false"/>
      <w:iCs w:val="false"/>
      <w:caps w:val="false"/>
      <w:smallCaps w:val="false"/>
      <w:strike w:val="false"/>
      <w:dstrike w:val="false"/>
      <w:spacing w:val="0"/>
      <w:sz w:val="24"/>
      <w:szCs w:val="24"/>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rsid w:val="00e01a16"/>
    <w:pPr/>
    <w:rPr>
      <w:sz w:val="28"/>
      <w:lang w:eastAsia="zh-CN"/>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customStyle="1">
    <w:name w:val="Покажчик"/>
    <w:basedOn w:val="Normal"/>
    <w:qFormat/>
    <w:pPr>
      <w:suppressLineNumbers/>
    </w:pPr>
    <w:rPr>
      <w:rFonts w:cs="Arial"/>
    </w:rPr>
  </w:style>
  <w:style w:type="paragraph" w:styleId="Style24">
    <w:name w:val="Title"/>
    <w:basedOn w:val="Normal"/>
    <w:next w:val="Style20"/>
    <w:qFormat/>
    <w:rsid w:val="00e01a16"/>
    <w:pPr>
      <w:jc w:val="center"/>
    </w:pPr>
    <w:rPr>
      <w:b/>
      <w:szCs w:val="20"/>
    </w:rPr>
  </w:style>
  <w:style w:type="paragraph" w:styleId="Caption">
    <w:name w:val="caption"/>
    <w:basedOn w:val="Normal"/>
    <w:qFormat/>
    <w:pPr>
      <w:suppressLineNumbers/>
      <w:spacing w:before="120" w:after="120"/>
    </w:pPr>
    <w:rPr>
      <w:rFonts w:cs="Arial"/>
      <w:i/>
      <w:iCs/>
    </w:rPr>
  </w:style>
  <w:style w:type="paragraph" w:styleId="BalloonText">
    <w:name w:val="Balloon Text"/>
    <w:basedOn w:val="Normal"/>
    <w:uiPriority w:val="99"/>
    <w:semiHidden/>
    <w:unhideWhenUsed/>
    <w:qFormat/>
    <w:rsid w:val="00d14c22"/>
    <w:pPr/>
    <w:rPr>
      <w:rFonts w:ascii="Segoe UI" w:hAnsi="Segoe UI" w:cs="Segoe UI"/>
      <w:sz w:val="18"/>
      <w:szCs w:val="18"/>
    </w:rPr>
  </w:style>
  <w:style w:type="paragraph" w:styleId="ListParagraph">
    <w:name w:val="List Paragraph"/>
    <w:basedOn w:val="Normal"/>
    <w:uiPriority w:val="34"/>
    <w:qFormat/>
    <w:rsid w:val="00fb678f"/>
    <w:pPr>
      <w:spacing w:before="0" w:after="0"/>
      <w:ind w:left="720" w:hanging="0"/>
      <w:contextualSpacing/>
    </w:pPr>
    <w:rPr/>
  </w:style>
  <w:style w:type="paragraph" w:styleId="Style25" w:customStyle="1">
    <w:name w:val="Верхній і нижній колонтитули"/>
    <w:basedOn w:val="Normal"/>
    <w:qFormat/>
    <w:pPr/>
    <w:rPr/>
  </w:style>
  <w:style w:type="paragraph" w:styleId="Style26">
    <w:name w:val="Header"/>
    <w:basedOn w:val="Normal"/>
    <w:uiPriority w:val="99"/>
    <w:unhideWhenUsed/>
    <w:rsid w:val="008221b0"/>
    <w:pPr>
      <w:tabs>
        <w:tab w:val="clear" w:pos="708"/>
        <w:tab w:val="center" w:pos="4819" w:leader="none"/>
        <w:tab w:val="right" w:pos="9639" w:leader="none"/>
      </w:tabs>
    </w:pPr>
    <w:rPr/>
  </w:style>
  <w:style w:type="paragraph" w:styleId="Style27">
    <w:name w:val="Footer"/>
    <w:basedOn w:val="Normal"/>
    <w:uiPriority w:val="99"/>
    <w:unhideWhenUsed/>
    <w:rsid w:val="008221b0"/>
    <w:pPr>
      <w:tabs>
        <w:tab w:val="clear" w:pos="708"/>
        <w:tab w:val="center" w:pos="4819" w:leader="none"/>
        <w:tab w:val="right" w:pos="9639" w:leader="none"/>
      </w:tabs>
    </w:pPr>
    <w:rPr/>
  </w:style>
  <w:style w:type="paragraph" w:styleId="NormalWeb">
    <w:name w:val="Normal (Web)"/>
    <w:basedOn w:val="Normal"/>
    <w:uiPriority w:val="99"/>
    <w:semiHidden/>
    <w:unhideWhenUsed/>
    <w:qFormat/>
    <w:rsid w:val="00140a1b"/>
    <w:pPr>
      <w:spacing w:beforeAutospacing="1" w:afterAutospacing="1"/>
    </w:pPr>
    <w:rPr>
      <w:lang w:val="ru-RU" w:eastAsia="en-GB"/>
    </w:rPr>
  </w:style>
  <w:style w:type="paragraph" w:styleId="Rvps2" w:customStyle="1">
    <w:name w:val="rvps2"/>
    <w:basedOn w:val="Normal"/>
    <w:uiPriority w:val="99"/>
    <w:qFormat/>
    <w:rsid w:val="00140a1b"/>
    <w:pPr>
      <w:spacing w:beforeAutospacing="1" w:afterAutospacing="1"/>
    </w:pPr>
    <w:rPr>
      <w:lang w:val="ru-RU"/>
    </w:rPr>
  </w:style>
  <w:style w:type="paragraph" w:styleId="NoSpacing">
    <w:name w:val="No Spacing"/>
    <w:uiPriority w:val="1"/>
    <w:qFormat/>
    <w:rsid w:val="00e01a16"/>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28" w:customStyle="1">
    <w:name w:val="Вміст рамки"/>
    <w:basedOn w:val="Normal"/>
    <w:qFormat/>
    <w:pPr/>
    <w:rPr/>
  </w:style>
  <w:style w:type="paragraph" w:styleId="2" w:customStyle="1">
    <w:name w:val="Основной текст2"/>
    <w:basedOn w:val="Normal"/>
    <w:qFormat/>
    <w:pPr>
      <w:shd w:val="clear" w:color="auto" w:fill="FFFFFF"/>
      <w:spacing w:lineRule="exact" w:line="322"/>
      <w:jc w:val="center"/>
    </w:pPr>
    <w:rPr>
      <w:sz w:val="27"/>
      <w:szCs w:val="27"/>
    </w:rPr>
  </w:style>
  <w:style w:type="paragraph" w:styleId="31" w:customStyle="1">
    <w:name w:val="Основной текст (3)"/>
    <w:basedOn w:val="Normal"/>
    <w:qFormat/>
    <w:pPr>
      <w:shd w:val="clear" w:color="auto" w:fill="FFFFFF"/>
      <w:spacing w:lineRule="exact" w:line="379" w:before="0" w:after="1800"/>
    </w:pPr>
    <w:rPr>
      <w:sz w:val="27"/>
      <w:szCs w:val="27"/>
    </w:rPr>
  </w:style>
  <w:style w:type="paragraph" w:styleId="Style29">
    <w:name w:val="Абзац списка"/>
    <w:basedOn w:val="Normal"/>
    <w:qFormat/>
    <w:pPr>
      <w:ind w:left="708" w:right="0" w:hanging="0"/>
    </w:pPr>
    <w:rPr/>
  </w:style>
  <w:style w:type="paragraph" w:styleId="Style30">
    <w:name w:val="Обычный (веб)"/>
    <w:basedOn w:val="Normal"/>
    <w:qFormat/>
    <w:pPr>
      <w:spacing w:before="280" w:after="280"/>
    </w:pPr>
    <w:rPr/>
  </w:style>
  <w:style w:type="paragraph" w:styleId="Style31">
    <w:name w:val="Вміст таблиці"/>
    <w:basedOn w:val="Normal"/>
    <w:qFormat/>
    <w:pPr>
      <w:widowControl w:val="false"/>
      <w:suppressLineNumbers/>
    </w:pPr>
    <w:rPr/>
  </w:style>
  <w:style w:type="paragraph" w:styleId="Rvps14">
    <w:name w:val="rvps14"/>
    <w:basedOn w:val="Normal"/>
    <w:qFormat/>
    <w:pPr>
      <w:spacing w:before="280" w:after="280"/>
    </w:pPr>
    <w:rPr/>
  </w:style>
  <w:style w:type="paragraph" w:styleId="Style32">
    <w:name w:val="Содержимое таблицы"/>
    <w:basedOn w:val="Normal"/>
    <w:qFormat/>
    <w:pPr>
      <w:widowControl w:val="false"/>
      <w:suppressLineNumbers/>
      <w:suppressAutoHyphens w:val="true"/>
      <w:spacing w:lineRule="auto" w:line="252" w:before="0" w:after="160"/>
    </w:pPr>
    <w:rPr>
      <w:rFonts w:ascii="Calibri" w:hAnsi="Calibri" w:cs="Calibri"/>
      <w:sz w:val="22"/>
      <w:szCs w:val="22"/>
      <w:lang w:val="uk-UA" w:eastAsia="zh-CN"/>
    </w:rPr>
  </w:style>
  <w:style w:type="paragraph" w:styleId="NoSpacing1">
    <w:name w:val="No Spacing1"/>
    <w:qFormat/>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4"/>
      <w:szCs w:val="20"/>
      <w:lang w:val="ru-RU" w:eastAsia="zh-CN" w:bidi="hi-I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278FA-44BD-42A3-BD78-218492574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4198</TotalTime>
  <Application>LibreOffice/7.4.2.3$Windows_X86_64 LibreOffice_project/382eef1f22670f7f4118c8c2dd222ec7ad009daf</Application>
  <AppVersion>15.0000</AppVersion>
  <Pages>17</Pages>
  <Words>11419</Words>
  <Characters>76779</Characters>
  <CharactersWithSpaces>90264</CharactersWithSpaces>
  <Paragraphs>907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2021-11-18T15:25:00Z</dcterms:created>
  <dc:creator>Пользователь</dc:creator>
  <dc:description/>
  <dc:language>uk-UA</dc:language>
  <cp:lastModifiedBy/>
  <cp:lastPrinted>2023-04-17T08:56:10Z</cp:lastPrinted>
  <dcterms:modified xsi:type="dcterms:W3CDTF">2023-05-04T13:37:22Z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