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5"/>
        <w:jc w:val="both"/>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mc:AlternateContent>
          <mc:Choice Requires="wps">
            <w:drawing>
              <wp:anchor behindDoc="1" distT="0" distB="9525" distL="0" distR="0" simplePos="0" locked="0" layoutInCell="0" allowOverlap="1" relativeHeight="2" wp14:anchorId="5D8FE1A3">
                <wp:simplePos x="0" y="0"/>
                <wp:positionH relativeFrom="column">
                  <wp:posOffset>6475095</wp:posOffset>
                </wp:positionH>
                <wp:positionV relativeFrom="paragraph">
                  <wp:posOffset>-1905</wp:posOffset>
                </wp:positionV>
                <wp:extent cx="3613785" cy="9201150"/>
                <wp:effectExtent l="9525" t="10160" r="9525" b="8890"/>
                <wp:wrapNone/>
                <wp:docPr id="1" name="Прямоугольник 27"/>
                <a:graphic xmlns:a="http://schemas.openxmlformats.org/drawingml/2006/main">
                  <a:graphicData uri="http://schemas.microsoft.com/office/word/2010/wordprocessingShape">
                    <wps:wsp>
                      <wps:cNvSpPr/>
                      <wps:spPr>
                        <a:xfrm>
                          <a:off x="0" y="0"/>
                          <a:ext cx="3613320" cy="9200520"/>
                        </a:xfrm>
                        <a:prstGeom prst="rect">
                          <a:avLst/>
                        </a:prstGeom>
                        <a:solidFill>
                          <a:srgbClr val="ffffff"/>
                        </a:solidFill>
                        <a:ln w="19050">
                          <a:solidFill>
                            <a:srgbClr val="0000ff"/>
                          </a:solidFill>
                          <a:prstDash val="dash"/>
                          <a:miter/>
                        </a:ln>
                      </wps:spPr>
                      <wps:style>
                        <a:lnRef idx="0"/>
                        <a:fillRef idx="0"/>
                        <a:effectRef idx="0"/>
                        <a:fontRef idx="minor"/>
                      </wps:style>
                      <wps:bodyPr/>
                    </wps:wsp>
                  </a:graphicData>
                </a:graphic>
              </wp:anchor>
            </w:drawing>
          </mc:Choice>
          <mc:Fallback>
            <w:pict>
              <v:rect id="shape_0" ID="Прямоугольник 27" path="m0,0l-2147483645,0l-2147483645,-2147483646l0,-2147483646xe" fillcolor="white" stroked="t" o:allowincell="f" style="position:absolute;margin-left:509.85pt;margin-top:-0.15pt;width:284.45pt;height:724.4pt;mso-wrap-style:none;v-text-anchor:middle" wp14:anchorId="5D8FE1A3">
                <v:fill o:detectmouseclick="t" type="solid" color2="black"/>
                <v:stroke color="blue" weight="19080" dashstyle="dash" joinstyle="miter" endcap="flat"/>
                <w10:wrap type="none"/>
              </v:rect>
            </w:pict>
          </mc:Fallback>
        </mc:AlternateContent>
        <mc:AlternateContent>
          <mc:Choice Requires="wps">
            <w:drawing>
              <wp:anchor behindDoc="0" distT="0" distB="0" distL="0" distR="0" simplePos="0" locked="0" layoutInCell="0" allowOverlap="1" relativeHeight="3" wp14:anchorId="131506C3">
                <wp:simplePos x="0" y="0"/>
                <wp:positionH relativeFrom="column">
                  <wp:posOffset>2844800</wp:posOffset>
                </wp:positionH>
                <wp:positionV relativeFrom="paragraph">
                  <wp:posOffset>675640</wp:posOffset>
                </wp:positionV>
                <wp:extent cx="434340" cy="149860"/>
                <wp:effectExtent l="0" t="0" r="0" b="0"/>
                <wp:wrapNone/>
                <wp:docPr id="2" name="Поле 10"/>
                <a:graphic xmlns:a="http://schemas.openxmlformats.org/drawingml/2006/main">
                  <a:graphicData uri="http://schemas.microsoft.com/office/word/2010/wordprocessingShape">
                    <wps:wsp>
                      <wps:cNvSpPr/>
                      <wps:spPr>
                        <a:xfrm>
                          <a:off x="0" y="0"/>
                          <a:ext cx="433800" cy="149400"/>
                        </a:xfrm>
                        <a:prstGeom prst="rect">
                          <a:avLst/>
                        </a:prstGeom>
                        <a:noFill/>
                        <a:ln w="0">
                          <a:noFill/>
                        </a:ln>
                      </wps:spPr>
                      <wps:style>
                        <a:lnRef idx="0"/>
                        <a:fillRef idx="0"/>
                        <a:effectRef idx="0"/>
                        <a:fontRef idx="minor"/>
                      </wps:style>
                      <wps:txbx>
                        <w:txbxContent>
                          <w:p>
                            <w:pPr>
                              <w:pStyle w:val="Style29"/>
                              <w:rPr>
                                <w:color w:val="000000"/>
                              </w:rPr>
                            </w:pPr>
                            <w:r>
                              <w:rPr/>
                            </w:r>
                          </w:p>
                        </w:txbxContent>
                      </wps:txbx>
                      <wps:bodyPr lIns="0" rIns="0" tIns="0" bIns="0" anchor="t" upright="1">
                        <a:noAutofit/>
                      </wps:bodyPr>
                    </wps:wsp>
                  </a:graphicData>
                </a:graphic>
              </wp:anchor>
            </w:drawing>
          </mc:Choice>
          <mc:Fallback>
            <w:pict>
              <v:rect id="shape_0" ID="Поле 10" path="m0,0l-2147483645,0l-2147483645,-2147483646l0,-2147483646xe" stroked="f" o:allowincell="f" style="position:absolute;margin-left:224pt;margin-top:53.2pt;width:34.1pt;height:11.7pt;mso-wrap-style:none;v-text-anchor:middle" wp14:anchorId="131506C3">
                <v:fill o:detectmouseclick="t" on="false"/>
                <v:stroke color="#3465a4" joinstyle="round" endcap="flat"/>
                <v:textbox>
                  <w:txbxContent>
                    <w:p>
                      <w:pPr>
                        <w:pStyle w:val="Style29"/>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5" wp14:anchorId="3008C78B">
                <wp:simplePos x="0" y="0"/>
                <wp:positionH relativeFrom="column">
                  <wp:posOffset>3360420</wp:posOffset>
                </wp:positionH>
                <wp:positionV relativeFrom="paragraph">
                  <wp:posOffset>17780</wp:posOffset>
                </wp:positionV>
                <wp:extent cx="222885" cy="647700"/>
                <wp:effectExtent l="0" t="635" r="0" b="0"/>
                <wp:wrapNone/>
                <wp:docPr id="4" name="Поле 9"/>
                <a:graphic xmlns:a="http://schemas.openxmlformats.org/drawingml/2006/main">
                  <a:graphicData uri="http://schemas.microsoft.com/office/word/2010/wordprocessingShape">
                    <wps:wsp>
                      <wps:cNvSpPr/>
                      <wps:spPr>
                        <a:xfrm>
                          <a:off x="0" y="0"/>
                          <a:ext cx="222120" cy="646920"/>
                        </a:xfrm>
                        <a:prstGeom prst="rect">
                          <a:avLst/>
                        </a:prstGeom>
                        <a:noFill/>
                        <a:ln w="0">
                          <a:noFill/>
                        </a:ln>
                      </wps:spPr>
                      <wps:style>
                        <a:lnRef idx="0"/>
                        <a:fillRef idx="0"/>
                        <a:effectRef idx="0"/>
                        <a:fontRef idx="minor"/>
                      </wps:style>
                      <wps:txbx>
                        <w:txbxContent>
                          <w:p>
                            <w:pPr>
                              <w:pStyle w:val="Style29"/>
                              <w:rPr>
                                <w:color w:val="000000"/>
                              </w:rPr>
                            </w:pPr>
                            <w:r>
                              <w:rPr/>
                            </w:r>
                          </w:p>
                        </w:txbxContent>
                      </wps:txbx>
                      <wps:bodyPr lIns="0" rIns="0" tIns="0" bIns="0" anchor="t" vert="vert270" upright="1">
                        <a:noAutofit/>
                      </wps:bodyPr>
                    </wps:wsp>
                  </a:graphicData>
                </a:graphic>
              </wp:anchor>
            </w:drawing>
          </mc:Choice>
          <mc:Fallback>
            <w:pict>
              <v:rect id="shape_0" ID="Поле 9" path="m0,0l-2147483645,0l-2147483645,-2147483646l0,-2147483646xe" stroked="f" o:allowincell="f" style="position:absolute;margin-left:264.6pt;margin-top:1.4pt;width:17.45pt;height:50.9pt;mso-wrap-style:none;v-text-anchor:middle" wp14:anchorId="3008C78B">
                <v:fill o:detectmouseclick="t" on="false"/>
                <v:stroke color="#3465a4" joinstyle="round" endcap="flat"/>
                <v:textbox style="mso-layout-flow-alt:bottom-to-top">
                  <w:txbxContent>
                    <w:p>
                      <w:pPr>
                        <w:pStyle w:val="Style29"/>
                        <w:rPr>
                          <w:color w:val="000000"/>
                        </w:rPr>
                      </w:pPr>
                      <w:r>
                        <w:rPr/>
                      </w:r>
                    </w:p>
                  </w:txbxContent>
                </v:textbox>
                <w10:wrap type="none"/>
              </v:rect>
            </w:pict>
          </mc:Fallback>
        </mc:AlternateContent>
        <w:drawing>
          <wp:anchor behindDoc="0" distT="0" distB="0" distL="114300" distR="114300" simplePos="0" locked="0" layoutInCell="0" allowOverlap="1" relativeHeight="13">
            <wp:simplePos x="0" y="0"/>
            <wp:positionH relativeFrom="column">
              <wp:posOffset>2743200</wp:posOffset>
            </wp:positionH>
            <wp:positionV relativeFrom="paragraph">
              <wp:posOffset>635</wp:posOffset>
            </wp:positionV>
            <wp:extent cx="485140" cy="650875"/>
            <wp:effectExtent l="0" t="0" r="0" b="0"/>
            <wp:wrapTight wrapText="bothSides">
              <wp:wrapPolygon edited="0">
                <wp:start x="1" y="295"/>
                <wp:lineTo x="1" y="602"/>
                <wp:lineTo x="1" y="897"/>
                <wp:lineTo x="1" y="1204"/>
                <wp:lineTo x="1" y="1510"/>
                <wp:lineTo x="1" y="1806"/>
                <wp:lineTo x="1" y="2112"/>
                <wp:lineTo x="1" y="2419"/>
                <wp:lineTo x="1" y="2715"/>
                <wp:lineTo x="1" y="3021"/>
                <wp:lineTo x="1" y="3317"/>
                <wp:lineTo x="1" y="3623"/>
                <wp:lineTo x="1" y="3930"/>
                <wp:lineTo x="1" y="4225"/>
                <wp:lineTo x="1" y="4532"/>
                <wp:lineTo x="1" y="4839"/>
                <wp:lineTo x="1" y="5134"/>
                <wp:lineTo x="1" y="5441"/>
                <wp:lineTo x="1" y="5736"/>
                <wp:lineTo x="1" y="6043"/>
                <wp:lineTo x="1" y="6350"/>
                <wp:lineTo x="1" y="6645"/>
                <wp:lineTo x="1" y="6952"/>
                <wp:lineTo x="1" y="7259"/>
                <wp:lineTo x="1" y="7555"/>
                <wp:lineTo x="1" y="7861"/>
                <wp:lineTo x="1" y="8157"/>
                <wp:lineTo x="1" y="8464"/>
                <wp:lineTo x="1" y="8770"/>
                <wp:lineTo x="1" y="9066"/>
                <wp:lineTo x="1" y="9373"/>
                <wp:lineTo x="1" y="9679"/>
                <wp:lineTo x="1" y="9975"/>
                <wp:lineTo x="1" y="10282"/>
                <wp:lineTo x="1" y="10589"/>
                <wp:lineTo x="1" y="10884"/>
                <wp:lineTo x="1" y="11191"/>
                <wp:lineTo x="1" y="11486"/>
                <wp:lineTo x="1" y="11793"/>
                <wp:lineTo x="1" y="12100"/>
                <wp:lineTo x="1" y="12395"/>
                <wp:lineTo x="1" y="12702"/>
                <wp:lineTo x="1" y="13009"/>
                <wp:lineTo x="1" y="13304"/>
                <wp:lineTo x="1" y="13611"/>
                <wp:lineTo x="1" y="13906"/>
                <wp:lineTo x="1" y="14213"/>
                <wp:lineTo x="1" y="14520"/>
                <wp:lineTo x="1" y="14815"/>
                <wp:lineTo x="1" y="15122"/>
                <wp:lineTo x="1" y="15429"/>
                <wp:lineTo x="1" y="15724"/>
                <wp:lineTo x="1" y="16031"/>
                <wp:lineTo x="7775" y="16326"/>
                <wp:lineTo x="1" y="16633"/>
                <wp:lineTo x="440" y="16940"/>
                <wp:lineTo x="440" y="17235"/>
                <wp:lineTo x="863" y="17542"/>
                <wp:lineTo x="1725" y="17849"/>
                <wp:lineTo x="2164" y="18145"/>
                <wp:lineTo x="3025" y="18451"/>
                <wp:lineTo x="3888" y="18747"/>
                <wp:lineTo x="5189" y="19054"/>
                <wp:lineTo x="6051" y="19360"/>
                <wp:lineTo x="6913" y="19656"/>
                <wp:lineTo x="8197" y="19963"/>
                <wp:lineTo x="9076" y="20269"/>
                <wp:lineTo x="9938" y="20565"/>
                <wp:lineTo x="11223" y="20565"/>
                <wp:lineTo x="12085" y="20269"/>
                <wp:lineTo x="12963" y="19963"/>
                <wp:lineTo x="13825" y="19656"/>
                <wp:lineTo x="15109" y="19360"/>
                <wp:lineTo x="15972" y="19054"/>
                <wp:lineTo x="16833" y="18747"/>
                <wp:lineTo x="17712" y="18451"/>
                <wp:lineTo x="18574" y="18145"/>
                <wp:lineTo x="19436" y="17849"/>
                <wp:lineTo x="19859" y="17542"/>
                <wp:lineTo x="20298" y="17235"/>
                <wp:lineTo x="20721" y="16940"/>
                <wp:lineTo x="20721" y="16633"/>
                <wp:lineTo x="20721" y="16326"/>
                <wp:lineTo x="20721" y="16031"/>
                <wp:lineTo x="20721" y="15724"/>
                <wp:lineTo x="20721" y="15429"/>
                <wp:lineTo x="20721" y="15122"/>
                <wp:lineTo x="20721" y="14815"/>
                <wp:lineTo x="20721" y="14520"/>
                <wp:lineTo x="20721" y="14213"/>
                <wp:lineTo x="20721" y="13906"/>
                <wp:lineTo x="20721" y="13611"/>
                <wp:lineTo x="20721" y="13304"/>
                <wp:lineTo x="20721" y="13009"/>
                <wp:lineTo x="20721" y="12702"/>
                <wp:lineTo x="20721" y="12395"/>
                <wp:lineTo x="20721" y="12100"/>
                <wp:lineTo x="20721" y="11793"/>
                <wp:lineTo x="20721" y="11486"/>
                <wp:lineTo x="20721" y="11191"/>
                <wp:lineTo x="20721" y="10884"/>
                <wp:lineTo x="20721" y="10589"/>
                <wp:lineTo x="20721" y="10282"/>
                <wp:lineTo x="20721" y="9975"/>
                <wp:lineTo x="20721" y="9679"/>
                <wp:lineTo x="20721" y="9373"/>
                <wp:lineTo x="20721" y="9066"/>
                <wp:lineTo x="20721" y="8770"/>
                <wp:lineTo x="20721" y="8464"/>
                <wp:lineTo x="20721" y="8157"/>
                <wp:lineTo x="20721" y="7861"/>
                <wp:lineTo x="20721" y="7555"/>
                <wp:lineTo x="20721" y="7259"/>
                <wp:lineTo x="20721" y="6952"/>
                <wp:lineTo x="20721" y="6645"/>
                <wp:lineTo x="20721" y="6350"/>
                <wp:lineTo x="20721" y="6043"/>
                <wp:lineTo x="20721" y="5736"/>
                <wp:lineTo x="20721" y="5441"/>
                <wp:lineTo x="20721" y="5134"/>
                <wp:lineTo x="20721" y="4839"/>
                <wp:lineTo x="20721" y="4532"/>
                <wp:lineTo x="20721" y="4225"/>
                <wp:lineTo x="20721" y="3930"/>
                <wp:lineTo x="20721" y="3623"/>
                <wp:lineTo x="20721" y="3317"/>
                <wp:lineTo x="20721" y="3021"/>
                <wp:lineTo x="20721" y="2715"/>
                <wp:lineTo x="20721" y="2419"/>
                <wp:lineTo x="20721" y="2112"/>
                <wp:lineTo x="20721" y="1806"/>
                <wp:lineTo x="20721" y="1510"/>
                <wp:lineTo x="20721" y="1204"/>
                <wp:lineTo x="1" y="897"/>
                <wp:lineTo x="19859" y="602"/>
                <wp:lineTo x="20721" y="295"/>
                <wp:lineTo x="1" y="295"/>
              </wp:wrapPolygon>
            </wp:wrapTight>
            <wp:docPr id="6"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8" descr="UKRGERB"/>
                    <pic:cNvPicPr>
                      <a:picLocks noChangeAspect="1" noChangeArrowheads="1"/>
                    </pic:cNvPicPr>
                  </pic:nvPicPr>
                  <pic:blipFill>
                    <a:blip r:embed="rId2"/>
                    <a:stretch>
                      <a:fillRect/>
                    </a:stretch>
                  </pic:blipFill>
                  <pic:spPr bwMode="auto">
                    <a:xfrm>
                      <a:off x="0" y="0"/>
                      <a:ext cx="485140" cy="650875"/>
                    </a:xfrm>
                    <a:prstGeom prst="rect">
                      <a:avLst/>
                    </a:prstGeom>
                  </pic:spPr>
                </pic:pic>
              </a:graphicData>
            </a:graphic>
          </wp:anchor>
        </w:drawing>
        <mc:AlternateContent>
          <mc:Choice Requires="wps">
            <w:drawing>
              <wp:anchor behindDoc="0" distT="0" distB="0" distL="0" distR="0" simplePos="0" locked="0" layoutInCell="0" allowOverlap="1" relativeHeight="15" wp14:anchorId="37728275">
                <wp:simplePos x="0" y="0"/>
                <wp:positionH relativeFrom="column">
                  <wp:posOffset>6471285</wp:posOffset>
                </wp:positionH>
                <wp:positionV relativeFrom="paragraph">
                  <wp:posOffset>-1270</wp:posOffset>
                </wp:positionV>
                <wp:extent cx="416560" cy="1270"/>
                <wp:effectExtent l="6350" t="6985" r="6985" b="6985"/>
                <wp:wrapNone/>
                <wp:docPr id="7" name="Прямая соединительная линия 26"/>
                <a:graphic xmlns:a="http://schemas.openxmlformats.org/drawingml/2006/main">
                  <a:graphicData uri="http://schemas.microsoft.com/office/word/2010/wordprocessingShape">
                    <wps:wsp>
                      <wps:cNvSpPr/>
                      <wps:spPr>
                        <a:xfrm>
                          <a:off x="0" y="0"/>
                          <a:ext cx="41580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0.1pt" to="542.25pt,-0.1pt" ID="Прямая соединительная линия 26" stroked="t" o:allowincell="f" style="position:absolute" wp14:anchorId="37728275">
                <v:stroke color="blue" weight="12600" joinstyle="round" endcap="flat"/>
                <v:fill o:detectmouseclick="t" on="false"/>
                <w10:wrap type="none"/>
              </v:line>
            </w:pict>
          </mc:Fallback>
        </mc:AlternateContent>
        <mc:AlternateContent>
          <mc:Choice Requires="wps">
            <w:drawing>
              <wp:anchor behindDoc="0" distT="0" distB="0" distL="3810" distR="3810" simplePos="0" locked="0" layoutInCell="0" allowOverlap="1" relativeHeight="16" wp14:anchorId="1AAF9B49">
                <wp:simplePos x="0" y="0"/>
                <wp:positionH relativeFrom="column">
                  <wp:posOffset>6464935</wp:posOffset>
                </wp:positionH>
                <wp:positionV relativeFrom="paragraph">
                  <wp:posOffset>343535</wp:posOffset>
                </wp:positionV>
                <wp:extent cx="469900" cy="1270"/>
                <wp:effectExtent l="635" t="38100" r="635" b="38100"/>
                <wp:wrapNone/>
                <wp:docPr id="8" name="Прямая соединительная линия 14"/>
                <a:graphic xmlns:a="http://schemas.openxmlformats.org/drawingml/2006/main">
                  <a:graphicData uri="http://schemas.microsoft.com/office/word/2010/wordprocessingShape">
                    <wps:wsp>
                      <wps:cNvSpPr/>
                      <wps:spPr>
                        <a:xfrm>
                          <a:off x="0" y="0"/>
                          <a:ext cx="469440" cy="72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27.05pt" to="545.95pt,27.05pt" ID="Прямая соединительная линия 14" stroked="t" o:allowincell="f" style="position:absolute" wp14:anchorId="1AAF9B49">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0" distR="0" simplePos="0" locked="0" layoutInCell="0" allowOverlap="1" relativeHeight="17" wp14:anchorId="4F8ACAA2">
                <wp:simplePos x="0" y="0"/>
                <wp:positionH relativeFrom="column">
                  <wp:posOffset>6458585</wp:posOffset>
                </wp:positionH>
                <wp:positionV relativeFrom="paragraph">
                  <wp:posOffset>343535</wp:posOffset>
                </wp:positionV>
                <wp:extent cx="32385" cy="450850"/>
                <wp:effectExtent l="6350" t="6350" r="6985" b="6350"/>
                <wp:wrapNone/>
                <wp:docPr id="9" name="Прямая соединительная линия 15"/>
                <a:graphic xmlns:a="http://schemas.openxmlformats.org/drawingml/2006/main">
                  <a:graphicData uri="http://schemas.microsoft.com/office/word/2010/wordprocessingShape">
                    <wps:wsp>
                      <wps:cNvSpPr/>
                      <wps:spPr>
                        <a:xfrm>
                          <a:off x="0" y="0"/>
                          <a:ext cx="31680" cy="45036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8.55pt,27.05pt" to="511pt,62.45pt" ID="Прямая соединительная линия 15" stroked="t" o:allowincell="f" style="position:absolute" wp14:anchorId="4F8ACAA2">
                <v:stroke color="blue" weight="12600" joinstyle="round" endcap="flat"/>
                <v:fill o:detectmouseclick="t" on="false"/>
                <w10:wrap type="none"/>
              </v:line>
            </w:pict>
          </mc:Fallback>
        </mc:AlternateContent>
        <mc:AlternateContent>
          <mc:Choice Requires="wps">
            <w:drawing>
              <wp:anchor behindDoc="0" distT="0" distB="0" distL="0" distR="0" simplePos="0" locked="0" layoutInCell="0" allowOverlap="1" relativeHeight="18" wp14:anchorId="040CE608">
                <wp:simplePos x="0" y="0"/>
                <wp:positionH relativeFrom="column">
                  <wp:posOffset>-1612265</wp:posOffset>
                </wp:positionH>
                <wp:positionV relativeFrom="paragraph">
                  <wp:posOffset>114935</wp:posOffset>
                </wp:positionV>
                <wp:extent cx="32385" cy="450850"/>
                <wp:effectExtent l="6985" t="6985" r="6985" b="6985"/>
                <wp:wrapNone/>
                <wp:docPr id="10" name="Прямая соединительная линия 16"/>
                <a:graphic xmlns:a="http://schemas.openxmlformats.org/drawingml/2006/main">
                  <a:graphicData uri="http://schemas.microsoft.com/office/word/2010/wordprocessingShape">
                    <wps:wsp>
                      <wps:cNvSpPr/>
                      <wps:spPr>
                        <a:xfrm>
                          <a:off x="0" y="0"/>
                          <a:ext cx="31680" cy="45036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126.95pt,9.05pt" to="-124.5pt,44.45pt" ID="Прямая соединительная линия 16" stroked="t" o:allowincell="f" style="position:absolute" wp14:anchorId="040CE608">
                <v:stroke color="blue" weight="12600" joinstyle="round" endcap="flat"/>
                <v:fill o:detectmouseclick="t" on="false"/>
                <w10:wrap type="none"/>
              </v:line>
            </w:pict>
          </mc:Fallback>
        </mc:AlternateContent>
      </w:r>
    </w:p>
    <w:p>
      <w:pPr>
        <w:pStyle w:val="Style25"/>
        <w:rPr>
          <w:spacing w:val="-8"/>
          <w:sz w:val="30"/>
          <w:szCs w:val="30"/>
          <w14:shadow w14:blurRad="50800" w14:dist="38100" w14:dir="2700000" w14:sx="100000" w14:sy="100000" w14:kx="0" w14:ky="0" w14:algn="tl">
            <w14:srgbClr w14:val="000000">
              <w14:alpha w14:val="60000"/>
            </w14:srgbClr>
          </w14:shadow>
        </w:rPr>
      </w:pPr>
      <w:r>
        <w:rPr>
          <w:spacing w:val="-8"/>
          <w:sz w:val="30"/>
          <w:szCs w:val="30"/>
          <w14:shadow w14:blurRad="50800" w14:dist="38100" w14:dir="2700000" w14:sx="100000" w14:sy="100000" w14:kx="0" w14:ky="0" w14:algn="tl">
            <w14:srgbClr w14:val="000000">
              <w14:alpha w14:val="60000"/>
            </w14:srgbClr>
          </w14:shadow>
        </w:rPr>
      </w:r>
    </w:p>
    <w:p>
      <w:pPr>
        <w:pStyle w:val="Style25"/>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w:r>
    </w:p>
    <w:p>
      <w:pPr>
        <w:pStyle w:val="Style25"/>
        <w:rPr>
          <w:spacing w:val="-8"/>
          <w:sz w:val="36"/>
          <w:szCs w:val="36"/>
          <w14:shadow w14:blurRad="50800" w14:dist="38100" w14:dir="2700000" w14:sx="100000" w14:sy="100000" w14:kx="0" w14:ky="0" w14:algn="tl">
            <w14:srgbClr w14:val="000000">
              <w14:alpha w14:val="60000"/>
            </w14:srgbClr>
          </w14:shadow>
        </w:rPr>
      </w:pPr>
      <w:r>
        <mc:AlternateContent>
          <mc:Choice Requires="wps">
            <w:drawing>
              <wp:anchor behindDoc="0" distT="0" distB="0" distL="0" distR="0" simplePos="0" locked="0" layoutInCell="0" allowOverlap="1" relativeHeight="14" wp14:anchorId="09F61D9C">
                <wp:simplePos x="0" y="0"/>
                <wp:positionH relativeFrom="column">
                  <wp:posOffset>6471285</wp:posOffset>
                </wp:positionH>
                <wp:positionV relativeFrom="paragraph">
                  <wp:posOffset>195580</wp:posOffset>
                </wp:positionV>
                <wp:extent cx="629920" cy="1270"/>
                <wp:effectExtent l="6350" t="6350" r="6985" b="6985"/>
                <wp:wrapNone/>
                <wp:docPr id="11" name="Прямая соединительная линия 1"/>
                <a:graphic xmlns:a="http://schemas.openxmlformats.org/drawingml/2006/main">
                  <a:graphicData uri="http://schemas.microsoft.com/office/word/2010/wordprocessingShape">
                    <wps:wsp>
                      <wps:cNvSpPr/>
                      <wps:spPr>
                        <a:xfrm>
                          <a:off x="0" y="0"/>
                          <a:ext cx="62928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15.4pt" to="559.05pt,15.4pt" ID="Прямая соединительная линия 1" stroked="t" o:allowincell="f" style="position:absolute" wp14:anchorId="09F61D9C">
                <v:stroke color="blue" weight="12600" joinstyle="round" endcap="flat"/>
                <v:fill o:detectmouseclick="t" on="false"/>
                <w10:wrap type="none"/>
              </v:line>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НІКОПОЛЬСЬКА МІСЬКА РАДА</w:t>
      </w:r>
    </w:p>
    <w:p>
      <w:pPr>
        <w:pStyle w:val="Style25"/>
        <w:rPr>
          <w:spacing w:val="-8"/>
          <w:sz w:val="32"/>
          <w:szCs w:val="32"/>
          <w14:shadow w14:blurRad="50800" w14:dist="38100" w14:dir="2700000" w14:sx="100000" w14:sy="100000" w14:kx="0" w14:ky="0" w14:algn="tl">
            <w14:srgbClr w14:val="000000">
              <w14:alpha w14:val="60000"/>
            </w14:srgbClr>
          </w14:shadow>
        </w:rPr>
      </w:pPr>
      <w:r>
        <w:rPr>
          <w:spacing w:val="-8"/>
          <w:sz w:val="32"/>
          <w:szCs w:val="32"/>
          <w14:shadow w14:blurRad="50800" w14:dist="38100" w14:dir="2700000" w14:sx="100000" w14:sy="100000" w14:kx="0" w14:ky="0" w14:algn="tl">
            <w14:srgbClr w14:val="000000">
              <w14:alpha w14:val="60000"/>
            </w14:srgbClr>
          </w14:shadow>
        </w:rPr>
        <w:t>VІІІ СКЛИКАННЯ</w:t>
      </w:r>
    </w:p>
    <w:p>
      <w:pPr>
        <w:pStyle w:val="Style25"/>
        <w:rPr>
          <w:spacing w:val="8"/>
          <w:sz w:val="10"/>
          <w14:shadow w14:blurRad="50800" w14:dist="38100" w14:dir="2700000" w14:sx="100000" w14:sy="100000" w14:kx="0" w14:ky="0" w14:algn="tl">
            <w14:srgbClr w14:val="000000">
              <w14:alpha w14:val="60000"/>
            </w14:srgbClr>
          </w14:shadow>
        </w:rPr>
      </w:pPr>
      <w:r>
        <w:rPr>
          <w:spacing w:val="8"/>
          <w:sz w:val="10"/>
          <w14:shadow w14:blurRad="50800" w14:dist="38100" w14:dir="2700000" w14:sx="100000" w14:sy="100000" w14:kx="0" w14:ky="0" w14:algn="tl">
            <w14:srgbClr w14:val="000000">
              <w14:alpha w14:val="60000"/>
            </w14:srgbClr>
          </w14:shadow>
        </w:rPr>
        <mc:AlternateContent>
          <mc:Choice Requires="wps">
            <w:drawing>
              <wp:anchor behindDoc="0" distT="5715" distB="6350" distL="0" distR="0" simplePos="0" locked="0" layoutInCell="0" allowOverlap="1" relativeHeight="7" wp14:anchorId="78E2E275">
                <wp:simplePos x="0" y="0"/>
                <wp:positionH relativeFrom="column">
                  <wp:posOffset>6487795</wp:posOffset>
                </wp:positionH>
                <wp:positionV relativeFrom="paragraph">
                  <wp:posOffset>39370</wp:posOffset>
                </wp:positionV>
                <wp:extent cx="38100" cy="646430"/>
                <wp:effectExtent l="34290" t="635" r="34290" b="0"/>
                <wp:wrapNone/>
                <wp:docPr id="12" name="Прямая соединительная линия 23"/>
                <a:graphic xmlns:a="http://schemas.openxmlformats.org/drawingml/2006/main">
                  <a:graphicData uri="http://schemas.microsoft.com/office/word/2010/wordprocessingShape">
                    <wps:wsp>
                      <wps:cNvSpPr/>
                      <wps:spPr>
                        <a:xfrm>
                          <a:off x="0" y="0"/>
                          <a:ext cx="37440" cy="64584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0.85pt,3.1pt" to="513.75pt,53.9pt" ID="Прямая соединительная линия 23" stroked="t" o:allowincell="f" style="position:absolute" wp14:anchorId="78E2E275">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6350" distB="6350" distL="5715" distR="6350" simplePos="0" locked="0" layoutInCell="0" allowOverlap="1" relativeHeight="8" wp14:anchorId="07DCBAF3">
                <wp:simplePos x="0" y="0"/>
                <wp:positionH relativeFrom="column">
                  <wp:posOffset>6464935</wp:posOffset>
                </wp:positionH>
                <wp:positionV relativeFrom="paragraph">
                  <wp:posOffset>177165</wp:posOffset>
                </wp:positionV>
                <wp:extent cx="116205" cy="121285"/>
                <wp:effectExtent l="635" t="0" r="0" b="0"/>
                <wp:wrapNone/>
                <wp:docPr id="13" name="Прямая соединительная линия 24"/>
                <a:graphic xmlns:a="http://schemas.openxmlformats.org/drawingml/2006/main">
                  <a:graphicData uri="http://schemas.microsoft.com/office/word/2010/wordprocessingShape">
                    <wps:wsp>
                      <wps:cNvSpPr/>
                      <wps:spPr>
                        <a:xfrm>
                          <a:off x="0" y="0"/>
                          <a:ext cx="115560" cy="12060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8.1pt,23.4pt" ID="Прямая соединительная линия 24" stroked="t" o:allowincell="f" style="position:absolute" wp14:anchorId="07DCBAF3">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0" distR="0" simplePos="0" locked="0" layoutInCell="0" allowOverlap="1" relativeHeight="9" wp14:anchorId="305954FB">
                <wp:simplePos x="0" y="0"/>
                <wp:positionH relativeFrom="column">
                  <wp:posOffset>6464935</wp:posOffset>
                </wp:positionH>
                <wp:positionV relativeFrom="paragraph">
                  <wp:posOffset>177165</wp:posOffset>
                </wp:positionV>
                <wp:extent cx="1358900" cy="220980"/>
                <wp:effectExtent l="635" t="635" r="0" b="0"/>
                <wp:wrapNone/>
                <wp:docPr id="14" name="Надпись 22"/>
                <a:graphic xmlns:a="http://schemas.openxmlformats.org/drawingml/2006/main">
                  <a:graphicData uri="http://schemas.microsoft.com/office/word/2010/wordprocessingShape">
                    <wps:wsp>
                      <wps:cNvSpPr/>
                      <wps:spPr>
                        <a:xfrm>
                          <a:off x="0" y="0"/>
                          <a:ext cx="1358280" cy="220320"/>
                        </a:xfrm>
                        <a:prstGeom prst="rect">
                          <a:avLst/>
                        </a:prstGeom>
                        <a:noFill/>
                        <a:ln w="0">
                          <a:noFill/>
                        </a:ln>
                      </wps:spPr>
                      <wps:style>
                        <a:lnRef idx="0"/>
                        <a:fillRef idx="0"/>
                        <a:effectRef idx="0"/>
                        <a:fontRef idx="minor"/>
                      </wps:style>
                      <wps:txbx>
                        <w:txbxContent>
                          <w:p>
                            <w:pPr>
                              <w:pStyle w:val="Style29"/>
                              <w:rPr>
                                <w:color w:val="000000"/>
                              </w:rPr>
                            </w:pPr>
                            <w:r>
                              <w:rPr>
                                <w:color w:val="000000"/>
                              </w:rPr>
                              <w:t xml:space="preserve">                </w:t>
                            </w:r>
                          </w:p>
                        </w:txbxContent>
                      </wps:txbx>
                      <wps:bodyPr lIns="0" rIns="0" tIns="0" bIns="0" anchor="t" upright="1">
                        <a:noAutofit/>
                      </wps:bodyPr>
                    </wps:wsp>
                  </a:graphicData>
                </a:graphic>
              </wp:anchor>
            </w:drawing>
          </mc:Choice>
          <mc:Fallback>
            <w:pict>
              <v:rect id="shape_0" ID="Надпись 22" path="m0,0l-2147483645,0l-2147483645,-2147483646l0,-2147483646xe" stroked="f" o:allowincell="f" style="position:absolute;margin-left:509.05pt;margin-top:13.95pt;width:106.9pt;height:17.3pt;mso-wrap-style:square;v-text-anchor:top" wp14:anchorId="305954FB">
                <v:fill o:detectmouseclick="t" on="false"/>
                <v:stroke color="#3465a4" joinstyle="round" endcap="flat"/>
                <v:textbox>
                  <w:txbxContent>
                    <w:p>
                      <w:pPr>
                        <w:pStyle w:val="Style29"/>
                        <w:rPr>
                          <w:color w:val="000000"/>
                        </w:rPr>
                      </w:pPr>
                      <w:r>
                        <w:rPr>
                          <w:color w:val="000000"/>
                        </w:rPr>
                        <w:t xml:space="preserve">                </w:t>
                      </w:r>
                    </w:p>
                  </w:txbxContent>
                </v:textbox>
                <w10:wrap type="none"/>
              </v:rect>
            </w:pict>
          </mc:Fallback>
        </mc:AlternateContent>
      </w:r>
    </w:p>
    <w:tbl>
      <w:tblPr>
        <w:tblpPr w:bottomFromText="0" w:horzAnchor="margin" w:leftFromText="180" w:rightFromText="180" w:tblpX="108" w:tblpY="-24" w:topFromText="0" w:vertAnchor="text"/>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Style25"/>
              <w:widowControl w:val="false"/>
              <w:jc w:val="left"/>
              <w:rPr>
                <w:b w:val="false"/>
                <w:b w:val="false"/>
                <w:sz w:val="2"/>
                <w:szCs w:val="2"/>
              </w:rPr>
            </w:pPr>
            <w:r>
              <w:rPr>
                <w:b w:val="false"/>
                <w:sz w:val="2"/>
                <w:szCs w:val="2"/>
              </w:rPr>
            </w:r>
          </w:p>
        </w:tc>
      </w:tr>
    </w:tbl>
    <w:p>
      <w:pPr>
        <w:pStyle w:val="Normal"/>
        <w:rPr>
          <w:sz w:val="16"/>
        </w:rPr>
      </w:pPr>
      <w:r>
        <w:rPr>
          <w:sz w:val="16"/>
        </w:rPr>
      </w:r>
    </w:p>
    <w:p>
      <w:pPr>
        <w:pStyle w:val="1"/>
        <w:tabs>
          <w:tab w:val="clear" w:pos="708"/>
          <w:tab w:val="center" w:pos="4819" w:leader="none"/>
          <w:tab w:val="left" w:pos="7040" w:leader="none"/>
        </w:tabs>
        <w:rPr>
          <w:spacing w:val="56"/>
          <w:sz w:val="32"/>
          <w:szCs w:val="32"/>
        </w:rPr>
      </w:pPr>
      <w:r>
        <w:rPr>
          <w:spacing w:val="56"/>
          <w:sz w:val="32"/>
          <w:szCs w:val="32"/>
        </w:rPr>
        <w:t>Р І Ш Е Н Н Я</w:t>
      </w:r>
    </w:p>
    <w:p>
      <w:pPr>
        <w:pStyle w:val="NoSpacing"/>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jc w:val="both"/>
        <w:rPr>
          <w:sz w:val="28"/>
        </w:rPr>
      </w:pPr>
      <w:r>
        <w:rPr/>
        <w:t>_</w:t>
      </w:r>
      <w:r>
        <w:rPr>
          <w:lang w:val="en-US"/>
        </w:rPr>
        <w:t>_26.09.2024___</w:t>
      </w:r>
      <w:r>
        <w:rPr/>
        <w:t>_</w:t>
      </w:r>
      <w:r>
        <w:rPr>
          <w:spacing w:val="22"/>
          <w:sz w:val="20"/>
        </w:rPr>
        <w:t xml:space="preserve">                                   м. Нікополь                                 </w:t>
      </w:r>
      <w:r>
        <w:rPr/>
        <w:t>№ _</w:t>
      </w:r>
      <w:r>
        <w:rPr>
          <w:lang w:val="en-US"/>
        </w:rPr>
        <w:t>4-49/VIII_</w:t>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mc:AlternateContent>
          <mc:Choice Requires="wps">
            <w:drawing>
              <wp:anchor behindDoc="0" distT="0" distB="0" distL="3810" distR="4445" simplePos="0" locked="0" layoutInCell="0" allowOverlap="1" relativeHeight="11" wp14:anchorId="0E95CDF8">
                <wp:simplePos x="0" y="0"/>
                <wp:positionH relativeFrom="column">
                  <wp:posOffset>-1963420</wp:posOffset>
                </wp:positionH>
                <wp:positionV relativeFrom="paragraph">
                  <wp:posOffset>343535</wp:posOffset>
                </wp:positionV>
                <wp:extent cx="505460" cy="2540"/>
                <wp:effectExtent l="635" t="37465" r="0" b="38100"/>
                <wp:wrapNone/>
                <wp:docPr id="16" name="Прямая соединительная линия 20"/>
                <a:graphic xmlns:a="http://schemas.openxmlformats.org/drawingml/2006/main">
                  <a:graphicData uri="http://schemas.microsoft.com/office/word/2010/wordprocessingShape">
                    <wps:wsp>
                      <wps:cNvSpPr/>
                      <wps:spPr>
                        <a:xfrm flipH="1">
                          <a:off x="0" y="0"/>
                          <a:ext cx="50472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4.9pt,27.15pt" ID="Прямая соединительная линия 20" stroked="t" o:allowincell="f" style="position:absolute;flip:x" wp14:anchorId="0E95CDF8">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3810" distR="4445" simplePos="0" locked="0" layoutInCell="0" allowOverlap="1" relativeHeight="12" wp14:anchorId="616F776F">
                <wp:simplePos x="0" y="0"/>
                <wp:positionH relativeFrom="column">
                  <wp:posOffset>-1963420</wp:posOffset>
                </wp:positionH>
                <wp:positionV relativeFrom="paragraph">
                  <wp:posOffset>343535</wp:posOffset>
                </wp:positionV>
                <wp:extent cx="505460" cy="2540"/>
                <wp:effectExtent l="635" t="37465" r="0" b="38100"/>
                <wp:wrapNone/>
                <wp:docPr id="17" name="Прямая соединительная линия 19"/>
                <a:graphic xmlns:a="http://schemas.openxmlformats.org/drawingml/2006/main">
                  <a:graphicData uri="http://schemas.microsoft.com/office/word/2010/wordprocessingShape">
                    <wps:wsp>
                      <wps:cNvSpPr/>
                      <wps:spPr>
                        <a:xfrm flipH="1">
                          <a:off x="0" y="0"/>
                          <a:ext cx="50472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54.6pt,27.05pt" to="-114.9pt,27.15pt" ID="Прямая соединительная линия 19" stroked="t" o:allowincell="f" style="position:absolute;flip:x" wp14:anchorId="616F776F">
                <v:stroke color="blue"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suppressAutoHyphens w:val="false"/>
        <w:jc w:val="center"/>
        <w:rPr>
          <w:sz w:val="28"/>
          <w:szCs w:val="28"/>
          <w:lang w:eastAsia="ru-RU"/>
        </w:rPr>
      </w:pPr>
      <w:r>
        <w:rPr>
          <w:sz w:val="28"/>
          <w:szCs w:val="28"/>
          <w:lang w:eastAsia="ru-RU"/>
        </w:rPr>
        <w:t>Про затвердження Переліку адміністративних</w:t>
      </w:r>
    </w:p>
    <w:p>
      <w:pPr>
        <w:pStyle w:val="Normal"/>
        <w:suppressAutoHyphens w:val="false"/>
        <w:jc w:val="center"/>
        <w:rPr>
          <w:sz w:val="28"/>
          <w:szCs w:val="28"/>
          <w:lang w:eastAsia="ru-RU"/>
        </w:rPr>
      </w:pPr>
      <w:r>
        <w:rPr>
          <w:sz w:val="28"/>
          <w:szCs w:val="28"/>
          <w:lang w:eastAsia="ru-RU"/>
        </w:rPr>
        <w:t>послуг, що можуть надаватися через відділ «Центр надання</w:t>
      </w:r>
    </w:p>
    <w:p>
      <w:pPr>
        <w:pStyle w:val="Normal"/>
        <w:suppressAutoHyphens w:val="false"/>
        <w:jc w:val="center"/>
        <w:rPr>
          <w:sz w:val="28"/>
          <w:szCs w:val="28"/>
          <w:lang w:eastAsia="ru-RU"/>
        </w:rPr>
      </w:pPr>
      <w:r>
        <w:rPr>
          <w:sz w:val="28"/>
          <w:szCs w:val="28"/>
          <w:lang w:eastAsia="ru-RU"/>
        </w:rPr>
        <w:t xml:space="preserve">адміністративних послуг м. Нікополя» </w:t>
      </w:r>
    </w:p>
    <w:p>
      <w:pPr>
        <w:pStyle w:val="Normal"/>
        <w:suppressAutoHyphens w:val="false"/>
        <w:jc w:val="both"/>
        <w:rPr>
          <w:color w:val="FFFFFF"/>
          <w:lang w:eastAsia="ru-RU"/>
        </w:rPr>
      </w:pPr>
      <w:r>
        <w:rPr>
          <w:color w:val="FFFFFF"/>
          <w:lang w:eastAsia="ru-RU"/>
        </w:rPr>
      </w:r>
    </w:p>
    <w:p>
      <w:pPr>
        <w:pStyle w:val="Normal"/>
        <w:suppressAutoHyphens w:val="false"/>
        <w:jc w:val="both"/>
        <w:rPr>
          <w:color w:val="FFFFFF"/>
          <w:lang w:eastAsia="ru-RU"/>
        </w:rPr>
      </w:pPr>
      <w:r>
        <w:rPr>
          <w:color w:val="FFFFFF"/>
          <w:lang w:eastAsia="ru-RU"/>
        </w:rPr>
      </w:r>
    </w:p>
    <w:p>
      <w:pPr>
        <w:pStyle w:val="Normal"/>
        <w:ind w:left="0" w:right="0" w:firstLine="709"/>
        <w:jc w:val="both"/>
        <w:rPr>
          <w:rFonts w:eastAsia="Calibri"/>
          <w:sz w:val="28"/>
          <w:szCs w:val="28"/>
          <w:lang w:eastAsia="en-US"/>
        </w:rPr>
      </w:pPr>
      <w:r>
        <w:rPr>
          <w:rFonts w:eastAsia="Calibri"/>
          <w:sz w:val="28"/>
          <w:szCs w:val="28"/>
          <w:lang w:eastAsia="en-US"/>
        </w:rPr>
        <w:t xml:space="preserve">З метою інформування населення щодо Порядку надання адміністративних послуг, підвищення якості їх надання, створення сприятливих умов для реалізації прав, свобод і законних інтересів фізичних та юридичних осіб на одержання таких послуг, відповідно до Закону України «Про адміністративні послуги», керуючись ст. 59 Закону України «Про місцеве самоврядування в Україні», Нікопольська міська рада                        </w:t>
      </w:r>
    </w:p>
    <w:p>
      <w:pPr>
        <w:pStyle w:val="Normal"/>
        <w:jc w:val="both"/>
        <w:rPr>
          <w:rFonts w:eastAsia="Calibri"/>
          <w:sz w:val="28"/>
          <w:szCs w:val="28"/>
          <w:lang w:eastAsia="en-US"/>
        </w:rPr>
      </w:pPr>
      <w:r>
        <w:rPr>
          <w:rFonts w:eastAsia="Calibri"/>
          <w:sz w:val="28"/>
          <w:szCs w:val="28"/>
          <w:lang w:eastAsia="en-US"/>
        </w:rPr>
        <w:t>ВИРІШИЛА:</w:t>
      </w:r>
    </w:p>
    <w:p>
      <w:pPr>
        <w:pStyle w:val="Normal"/>
        <w:ind w:left="0" w:right="0" w:firstLine="709"/>
        <w:jc w:val="both"/>
        <w:rPr>
          <w:rFonts w:eastAsia="Calibri"/>
          <w:sz w:val="28"/>
          <w:szCs w:val="28"/>
          <w:lang w:eastAsia="en-US"/>
        </w:rPr>
      </w:pPr>
      <w:r>
        <w:rPr>
          <w:rFonts w:eastAsia="Calibri"/>
          <w:sz w:val="28"/>
          <w:szCs w:val="28"/>
          <w:lang w:eastAsia="en-US"/>
        </w:rPr>
        <w:t>1. Затвердити Перелік адміністративних послуг, що можуть надаватися через відділ «Центр надання адміністративних послуг м. Нікополя» (додається).</w:t>
      </w:r>
    </w:p>
    <w:p>
      <w:pPr>
        <w:pStyle w:val="Normal"/>
        <w:ind w:left="0" w:right="0" w:firstLine="709"/>
        <w:jc w:val="both"/>
        <w:rPr/>
      </w:pPr>
      <w:r>
        <w:rPr>
          <w:rFonts w:eastAsia="Calibri"/>
          <w:sz w:val="28"/>
          <w:szCs w:val="28"/>
          <w:lang w:eastAsia="en-US"/>
        </w:rPr>
        <w:t xml:space="preserve">2. Рішення Нікопольської міської ради від 27.10.2023 </w:t>
      </w:r>
      <w:r>
        <w:rPr>
          <w:rFonts w:eastAsia="Calibri"/>
          <w:sz w:val="28"/>
          <w:szCs w:val="28"/>
          <w:lang w:eastAsia="ru-RU"/>
        </w:rPr>
        <w:t>№ 11-38</w:t>
      </w:r>
      <w:r>
        <w:rPr>
          <w:rFonts w:eastAsia="Calibri"/>
          <w:sz w:val="28"/>
          <w:szCs w:val="28"/>
          <w:lang w:eastAsia="en-US"/>
        </w:rPr>
        <w:t>/</w:t>
      </w:r>
      <w:r>
        <w:rPr>
          <w:rFonts w:eastAsia="Calibri"/>
          <w:sz w:val="28"/>
          <w:szCs w:val="28"/>
          <w:lang w:val="en-US" w:eastAsia="en-US"/>
        </w:rPr>
        <w:t>VIII</w:t>
      </w:r>
      <w:r>
        <w:rPr>
          <w:rFonts w:eastAsia="Calibri"/>
          <w:sz w:val="28"/>
          <w:szCs w:val="28"/>
          <w:lang w:eastAsia="ru-RU"/>
        </w:rPr>
        <w:t xml:space="preserve"> </w:t>
      </w:r>
      <w:r>
        <w:rPr>
          <w:rFonts w:eastAsia="Calibri"/>
          <w:sz w:val="28"/>
          <w:szCs w:val="28"/>
          <w:lang w:eastAsia="en-US"/>
        </w:rPr>
        <w:t>«</w:t>
      </w:r>
      <w:r>
        <w:rPr>
          <w:rFonts w:eastAsia="Calibri"/>
          <w:sz w:val="28"/>
          <w:szCs w:val="28"/>
          <w:lang w:eastAsia="ru-RU"/>
        </w:rPr>
        <w:t xml:space="preserve">Про затвердження </w:t>
      </w:r>
      <w:r>
        <w:rPr>
          <w:rFonts w:eastAsia="Calibri"/>
          <w:sz w:val="28"/>
          <w:szCs w:val="28"/>
          <w:lang w:eastAsia="en-US"/>
        </w:rPr>
        <w:t>Переліку адміністративних послуг, що можуть надаватися через відділ «Центр надання адміністративних послуг м. Нікополя» визнати таким, що втратило чинність.</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(Пилипенко).</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sectPr>
          <w:headerReference w:type="default" r:id="rId3"/>
          <w:type w:val="nextPage"/>
          <w:pgSz w:w="11906" w:h="16838"/>
          <w:pgMar w:left="1701" w:right="566" w:gutter="0" w:header="851" w:top="1410" w:footer="0" w:bottom="709"/>
          <w:pgNumType w:start="8" w:fmt="decimal"/>
          <w:formProt w:val="false"/>
          <w:textDirection w:val="lrTb"/>
          <w:docGrid w:type="default" w:linePitch="360" w:charSpace="0"/>
        </w:sectPr>
        <w:pStyle w:val="Normal"/>
        <w:suppressAutoHyphens w:val="false"/>
        <w:rPr>
          <w:sz w:val="28"/>
          <w:szCs w:val="28"/>
          <w:lang w:eastAsia="ru-RU"/>
        </w:rPr>
      </w:pPr>
      <w:r>
        <w:rPr>
          <w:sz w:val="28"/>
          <w:szCs w:val="28"/>
          <w:lang w:eastAsia="ru-RU"/>
        </w:rPr>
        <w:t>Міський голова</w:t>
        <w:tab/>
        <w:tab/>
        <w:tab/>
        <w:tab/>
        <w:tab/>
        <w:tab/>
        <w:tab/>
        <w:tab/>
        <w:t>Олександр САЮК</w:t>
      </w:r>
    </w:p>
    <w:p>
      <w:pPr>
        <w:pStyle w:val="Normal"/>
        <w:jc w:val="both"/>
        <w:rPr>
          <w:sz w:val="28"/>
          <w:szCs w:val="28"/>
        </w:rPr>
      </w:pPr>
      <w:r>
        <w:rPr>
          <w:sz w:val="28"/>
          <w:szCs w:val="28"/>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bookmarkStart w:id="0" w:name="_GoBack"/>
      <w:bookmarkStart w:id="1" w:name="_GoBack"/>
      <w:bookmarkEnd w:id="1"/>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Додаток</w:t>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до рішення міської ради</w:t>
      </w:r>
    </w:p>
    <w:p>
      <w:pPr>
        <w:pStyle w:val="Normal"/>
        <w:spacing w:before="0" w:after="0"/>
        <w:ind w:left="0" w:right="0" w:hanging="0"/>
        <w:rPr>
          <w:rFonts w:ascii="Times New Roman" w:hAnsi="Times New Roman"/>
          <w:sz w:val="24"/>
          <w:szCs w:val="24"/>
        </w:rPr>
      </w:pPr>
      <w:r>
        <w:rPr>
          <w:sz w:val="24"/>
          <w:szCs w:val="24"/>
        </w:rPr>
        <w:t xml:space="preserve">                                                                                                  </w:t>
      </w:r>
      <w:r>
        <w:rPr>
          <w:sz w:val="24"/>
          <w:szCs w:val="24"/>
        </w:rPr>
        <w:t>від _</w:t>
      </w:r>
      <w:r>
        <w:rPr>
          <w:sz w:val="24"/>
          <w:szCs w:val="24"/>
          <w:lang w:val="en-US"/>
        </w:rPr>
        <w:t>26.09.2024</w:t>
      </w:r>
      <w:r>
        <w:rPr>
          <w:sz w:val="24"/>
          <w:szCs w:val="24"/>
        </w:rPr>
        <w:t>_ № _4-49/</w:t>
      </w:r>
      <w:r>
        <w:rPr>
          <w:sz w:val="24"/>
          <w:szCs w:val="24"/>
          <w:lang w:val="en-US"/>
        </w:rPr>
        <w:t>VIII</w:t>
      </w:r>
      <w:r>
        <w:rPr>
          <w:sz w:val="24"/>
          <w:szCs w:val="24"/>
        </w:rPr>
        <w:t>__</w:t>
      </w:r>
    </w:p>
    <w:p>
      <w:pPr>
        <w:pStyle w:val="Normal"/>
        <w:spacing w:lineRule="auto" w:line="240"/>
        <w:jc w:val="center"/>
        <w:rPr>
          <w:rFonts w:ascii="Times New Roman" w:hAnsi="Times New Roman"/>
          <w:sz w:val="24"/>
          <w:szCs w:val="24"/>
        </w:rPr>
      </w:pPr>
      <w:r>
        <w:rPr>
          <w:sz w:val="24"/>
          <w:szCs w:val="24"/>
        </w:rPr>
      </w:r>
    </w:p>
    <w:p>
      <w:pPr>
        <w:pStyle w:val="Normal"/>
        <w:spacing w:lineRule="auto" w:line="240" w:before="0" w:after="46"/>
        <w:jc w:val="center"/>
        <w:rPr>
          <w:rFonts w:ascii="Times New Roman" w:hAnsi="Times New Roman"/>
          <w:b/>
          <w:b/>
          <w:bCs/>
          <w:sz w:val="24"/>
          <w:szCs w:val="24"/>
        </w:rPr>
      </w:pPr>
      <w:r>
        <w:rPr>
          <w:b/>
          <w:bCs/>
          <w:sz w:val="24"/>
          <w:szCs w:val="24"/>
        </w:rPr>
        <w:t>ПЕРЕЛІК</w:t>
      </w:r>
    </w:p>
    <w:p>
      <w:pPr>
        <w:pStyle w:val="Normal"/>
        <w:spacing w:lineRule="auto" w:line="240" w:before="0" w:after="46"/>
        <w:jc w:val="center"/>
        <w:rPr>
          <w:rFonts w:ascii="Times New Roman" w:hAnsi="Times New Roman"/>
          <w:b/>
          <w:b/>
          <w:bCs/>
          <w:sz w:val="24"/>
          <w:szCs w:val="24"/>
        </w:rPr>
      </w:pPr>
      <w:r>
        <w:rPr>
          <w:b/>
          <w:bCs/>
          <w:sz w:val="24"/>
          <w:szCs w:val="24"/>
        </w:rPr>
        <w:t xml:space="preserve">адміністративних послуг, що можуть надаватися через </w:t>
      </w:r>
    </w:p>
    <w:p>
      <w:pPr>
        <w:pStyle w:val="Normal"/>
        <w:spacing w:lineRule="auto" w:line="240" w:before="0" w:after="46"/>
        <w:ind w:left="0" w:right="0" w:hanging="0"/>
        <w:jc w:val="center"/>
        <w:rPr>
          <w:rFonts w:ascii="Times New Roman" w:hAnsi="Times New Roman" w:eastAsia="Times New Roman" w:cs="Times New Roman"/>
          <w:b/>
          <w:b/>
          <w:bCs/>
          <w:sz w:val="24"/>
          <w:szCs w:val="24"/>
          <w:lang w:eastAsia="ru-RU"/>
        </w:rPr>
      </w:pPr>
      <w:r>
        <w:rPr>
          <w:rFonts w:eastAsia="Times New Roman" w:cs="Times New Roman"/>
          <w:b/>
          <w:bCs/>
          <w:sz w:val="24"/>
          <w:szCs w:val="24"/>
          <w:lang w:eastAsia="ru-RU"/>
        </w:rPr>
        <w:t xml:space="preserve">відділ «Центр надання адміністративних послуг м. Нікополя» </w:t>
      </w:r>
    </w:p>
    <w:tbl>
      <w:tblPr>
        <w:tblW w:w="10424" w:type="dxa"/>
        <w:jc w:val="left"/>
        <w:tblInd w:w="-572" w:type="dxa"/>
        <w:tblLayout w:type="fixed"/>
        <w:tblCellMar>
          <w:top w:w="0" w:type="dxa"/>
          <w:left w:w="108" w:type="dxa"/>
          <w:bottom w:w="0" w:type="dxa"/>
          <w:right w:w="108" w:type="dxa"/>
        </w:tblCellMar>
      </w:tblPr>
      <w:tblGrid>
        <w:gridCol w:w="847"/>
        <w:gridCol w:w="7794"/>
        <w:gridCol w:w="1783"/>
      </w:tblGrid>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w:t>
            </w:r>
          </w:p>
        </w:tc>
        <w:tc>
          <w:tcPr>
            <w:tcW w:w="77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Найменування адміністративної послуги</w:t>
            </w:r>
          </w:p>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2"/>
                <w:szCs w:val="24"/>
                <w:lang w:eastAsia="ru-RU" w:bidi="ar-SA"/>
              </w:rPr>
            </w:pPr>
            <w:r>
              <w:rPr>
                <w:rFonts w:eastAsia="Times New Roman" w:cs="Times New Roman"/>
                <w:b/>
                <w:kern w:val="0"/>
                <w:sz w:val="22"/>
                <w:szCs w:val="24"/>
                <w:lang w:eastAsia="ru-RU" w:bidi="ar-SA"/>
              </w:rPr>
              <w:t>Ідентифікатор послуги</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 Послуги з державної реєстрації майна, бізнесу, громадських та релігійних формувань</w:t>
            </w:r>
          </w:p>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юридичної особи (крім громадського формування та релігійної організації)</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00050</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(крім громадського формування та релігійної організації)</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00054</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00052</w:t>
            </w:r>
          </w:p>
        </w:tc>
      </w:tr>
      <w:tr>
        <w:trPr>
          <w:trHeight w:val="314"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виписки з Єдиного державного реєстру юридичних осіб, фізичних осіб - підприємців та громадських формувань у паперовій формі для проставлення апостиля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витягу з Єдиного державного реєстру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Підтвердження відомостей про кінцевого бенефіціарного власника юридичної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виділ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відокремленого підрозділу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фізичної особи - підприємця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підприємницької діяльності фізичної особи - підприємця за її рішенням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00335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громадського об’єднання в результаті його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громадського об’єднання в результаті його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виділ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відокремленого підрозділу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внесення змін до відомостей про відокремлений підрозділ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відокремленого підрозділу громадського об’єднання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творчої спілки, територіального осередку творчої спілки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00494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творчої спілки, територіального осередку творчої спілки в результаті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творчої спілки, територіального осередку творчої спілки в результаті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творчої спілки, територіального осередку творчої спілки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творчої спілки, територіального осередку творчої спілки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організації роботодавців, об’єднання організацій роботодавців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00645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організації роботодавців, об’єднання організацій роботодавців в результаті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організації роботодавців, об’єднання організацій роботодавців в результаті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організації роботодавців, об’єднання організацій роботодавців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організації роботодавців, об’єднання організацій роботодавців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00607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структурного утворення політичної партії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структурного утворення політичної партії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структурного утворення політичної партії в результаті його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структурного утворення політичної партії в результаті його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структурного утворення політичної партії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00672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професійної спілки, організації професійних спілок, об’єднання професійних спілок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00570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професійної спілки, організації професійних спілок, об’єднання професійних спілок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00643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00664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створення релігійної громади (у тому числі в результаті злиття, поділу)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статуту (положення) релігійної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статуту (положення) релігійної громади у новій редакції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зміни складу комісії з припинення (комісії з реорганізації, ліквідаційної комісії) релігійної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uk-UA" w:eastAsia="en-US" w:bidi="ar-SA"/>
              </w:rPr>
              <w:t>0</w:t>
            </w:r>
            <w:r>
              <w:rPr>
                <w:rFonts w:eastAsia="Calibri"/>
                <w:color w:val="000000"/>
                <w:kern w:val="0"/>
                <w:sz w:val="24"/>
                <w:szCs w:val="20"/>
                <w:lang w:val="ru-RU" w:eastAsia="en-US" w:bidi="ar-SA"/>
              </w:rPr>
              <w:t>1100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релігійної громади в результаті її ліквідації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припинення релігійної громади в результаті її реорганізації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рішення про припинення релігійної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статуту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дубліката свідоцтва про державну реєстрацію статуту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статуту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Скасування державної реєстрації статуту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00995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речового права, похідного від права власності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обтяжень речових прав на нерухоме майно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Взяття на облік безхазяйного нерухомого майна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змін до записів Державного реєстру речових прав на нерухоме майно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інформації з Державного реєстру речових прав на нерухоме майно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Заборона вчинення реєстраційних дій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декларації відповідності матеріально-технічної бази суб'єктів господарювання вимогам законодавства у сфері пожежної безпеки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00162</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2. Послуги з державної реєстрації актів цивільного стану, єМалятко</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sz w:val="20"/>
                <w:szCs w:val="24"/>
                <w:lang w:eastAsia="ru-RU"/>
              </w:rPr>
            </w:pPr>
            <w:r>
              <w:rPr>
                <w:sz w:val="20"/>
                <w:szCs w:val="24"/>
                <w:lang w:eastAsia="ru-RU"/>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актових записів цивільного стану, їх поновлення та анулювання</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00983</w:t>
            </w:r>
            <w:r>
              <w:rPr>
                <w:rFonts w:eastAsia="Calibri"/>
                <w:color w:val="000000"/>
                <w:kern w:val="0"/>
                <w:sz w:val="24"/>
                <w:szCs w:val="20"/>
                <w:vertAlign w:val="superscript"/>
                <w:lang w:val="uk-UA" w:eastAsia="en-US" w:bidi="ar-SA"/>
              </w:rPr>
              <w:t>3</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sz w:val="20"/>
                <w:szCs w:val="24"/>
                <w:lang w:eastAsia="ru-RU"/>
              </w:rPr>
            </w:pPr>
            <w:r>
              <w:rPr>
                <w:sz w:val="20"/>
                <w:szCs w:val="24"/>
                <w:lang w:eastAsia="ru-RU"/>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народження дитини та її походження</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шлюбу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розірвання шлюбу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зміни імені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смерті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Державного реєстру актів цивільного стану громадян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01418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Повторна видача свідоцтва про державну реєстрацію акта цивільного стану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b/>
                <w:b/>
                <w:bCs/>
                <w:color w:val="333333"/>
                <w:kern w:val="0"/>
                <w:sz w:val="24"/>
                <w:szCs w:val="20"/>
                <w:lang w:val="ru-RU" w:eastAsia="en-US" w:bidi="ar-SA"/>
              </w:rPr>
            </w:pPr>
            <w:r>
              <w:rPr>
                <w:rFonts w:eastAsia="Calibri"/>
                <w:b/>
                <w:bCs/>
                <w:color w:val="333333"/>
                <w:kern w:val="0"/>
                <w:sz w:val="24"/>
                <w:szCs w:val="20"/>
                <w:lang w:val="ru-RU" w:eastAsia="en-US" w:bidi="ar-SA"/>
              </w:rPr>
              <w:t>Комплексна електронна публічна послуга “єМалятко”: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01369</w:t>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left="51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1) державна реєстрація народження та визначення походження дитини</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2) декларування місця проживання дитини</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3) призначення допомоги при народженні дитини</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4) внесення відомостей про дитину до Реєстру пацієнтів в електронній системі охорони здоров’я</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5) реєстрація дитини у Державному реєстрі фізичних осіб - платників податків</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6) внесення інформації про дитину до Єдиного державного демографічного реєстру з автоматичним формуванням унікального номера запису в ньому</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7) надання грошової компенсації вартості одноразової натуральної допомоги “пакунок малюка”</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720"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8) видача посвідчень батьків багатодітної сім’ї та дитини з багатодітної сім’ї</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left="794" w:right="0" w:hanging="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9) призначення допомоги на дітей, які виховуються у багатодітних сім’ях</w:t>
            </w:r>
          </w:p>
        </w:tc>
        <w:tc>
          <w:tcPr>
            <w:tcW w:w="1783"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sz w:val="20"/>
                <w:szCs w:val="24"/>
                <w:lang w:eastAsia="ru-RU"/>
              </w:rPr>
            </w:pPr>
            <w:r>
              <w:rPr>
                <w:sz w:val="20"/>
                <w:szCs w:val="24"/>
                <w:lang w:eastAsia="ru-RU"/>
              </w:rPr>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3. Послуги у сфері оформлення паспортних документів</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вперше після досягнення 14-річного віку</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00023</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 безконтактним електронним носієм</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00025</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Вклеювання до паспорта громадянина України (зразка 1994 року) фотокартки при досягненні 25- і 45-річного віку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документів для виїзду громадян України за кордон на постійне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посвідки на постійне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у зв’язку із втратою або викраденням посвідки на постійне проживання, її обміну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посвідки на тимчасове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Одночасне оформлення (у тому числі замість втраченого або викраденого), обміну паспорта громадянина України та паспорта громадянина України для виїзду за кордон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3"/>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Оформлення та видача у зв’язку із втратою або викраденням посвідки на тимчасове проживання, її обміну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00930</w:t>
            </w:r>
            <w:r>
              <w:rPr>
                <w:rFonts w:eastAsia="Calibri"/>
                <w:color w:val="000000"/>
                <w:kern w:val="0"/>
                <w:sz w:val="24"/>
                <w:szCs w:val="20"/>
                <w:vertAlign w:val="superscript"/>
                <w:lang w:val="uk-UA" w:eastAsia="en-US" w:bidi="ar-SA"/>
              </w:rPr>
              <w:t>3</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4. Послуги з реєстрації місця проживання</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rHeight w:val="317"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sz w:val="20"/>
                <w:szCs w:val="24"/>
                <w:lang w:eastAsia="ru-RU"/>
              </w:rPr>
            </w:pPr>
            <w:r>
              <w:rPr>
                <w:sz w:val="20"/>
                <w:szCs w:val="24"/>
                <w:lang w:eastAsia="ru-RU"/>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проживання</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00034</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Зняття із задекларованого/зареєстрованого місця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00037</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проживання дитини до 14 років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01217</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місця перебування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00040</w:t>
            </w:r>
          </w:p>
        </w:tc>
      </w:tr>
      <w:tr>
        <w:trPr>
          <w:trHeight w:val="317" w:hRule="atLeast"/>
        </w:trPr>
        <w:tc>
          <w:tcPr>
            <w:tcW w:w="847" w:type="dxa"/>
            <w:tcBorders>
              <w:left w:val="single" w:sz="4" w:space="0" w:color="000000"/>
              <w:bottom w:val="single" w:sz="4" w:space="0" w:color="000000"/>
              <w:right w:val="single" w:sz="4" w:space="0" w:color="000000"/>
            </w:tcBorders>
          </w:tcPr>
          <w:p>
            <w:pPr>
              <w:pStyle w:val="Normal"/>
              <w:widowControl w:val="false"/>
              <w:numPr>
                <w:ilvl w:val="0"/>
                <w:numId w:val="4"/>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реєстру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00038</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5. Послуги у сфері будівництва та нерухомого майна</w:t>
            </w:r>
          </w:p>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0"/>
                <w:lang w:eastAsia="en-US" w:bidi="ar-SA"/>
              </w:rPr>
            </w:pPr>
            <w:r>
              <w:rPr>
                <w:rFonts w:eastAsia="Times New Roman" w:cs="Times New Roman"/>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01208</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01219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початок виконання підготовчих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w:t>
            </w:r>
            <w:r>
              <w:rPr>
                <w:rFonts w:eastAsia="Calibri"/>
                <w:color w:val="333333"/>
                <w:kern w:val="0"/>
                <w:sz w:val="24"/>
                <w:szCs w:val="20"/>
                <w:lang w:val="uk-UA" w:eastAsia="en-US" w:bidi="ar-SA"/>
              </w:rPr>
              <w:t xml:space="preserve"> (внесення змін) </w:t>
            </w:r>
            <w:r>
              <w:rPr>
                <w:rFonts w:eastAsia="Calibri"/>
                <w:color w:val="333333"/>
                <w:kern w:val="0"/>
                <w:sz w:val="24"/>
                <w:szCs w:val="20"/>
                <w:lang w:val="ru-RU" w:eastAsia="en-US" w:bidi="ar-SA"/>
              </w:rPr>
              <w:t>будівельного паспорта забудови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00156</w:t>
            </w:r>
          </w:p>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дубліката будівельного паспорта забудови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Кадастрова довідка з містобудівного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01330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об’єкта до експлуатації, будівництво якого здійснено на підставі будівельного паспорта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01376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01873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 xml:space="preserve">Надання </w:t>
            </w:r>
            <w:r>
              <w:rPr>
                <w:rFonts w:eastAsia="Calibri"/>
                <w:color w:val="333333"/>
                <w:kern w:val="0"/>
                <w:sz w:val="24"/>
                <w:szCs w:val="20"/>
                <w:lang w:val="uk-UA" w:eastAsia="en-US" w:bidi="ar-SA"/>
              </w:rPr>
              <w:t>(внесення змін; скасування) містобудівних умов в обмежень для проектування об’єкту будівництва/листа про об’єкти, для проектування яких не потрібно отримувати містобудівні умови та обмеження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02480</w:t>
            </w:r>
          </w:p>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00158</w:t>
            </w:r>
          </w:p>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Коригування адреси об’єкта, що будується (на підставі проектної документації)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Оформлення паспорта прив’язки тимчасової споруди для провадження підприємницької діяльності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 xml:space="preserve">Продовження строку дії паспорта прив’язки тимчасової споруди для провадження підприємницької діяльності </w:t>
            </w:r>
            <w:r>
              <w:rPr>
                <w:rFonts w:eastAsia="Calibri"/>
                <w:color w:val="333333"/>
                <w:kern w:val="0"/>
                <w:sz w:val="24"/>
                <w:szCs w:val="20"/>
                <w:lang w:val="uk-UA" w:eastAsia="en-US" w:bidi="ar-SA"/>
              </w:rPr>
              <w:t>(ТС) у разі зміни естетичного вигляду ТС</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паспорту прив’язки тимчасової споруди для провадження підприємницької діяльності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Присвоєння, корегування адреси об’єктам після запровадження електроної системи, на які право на виконання будівельних робіт отримано до запровадження такої системи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 xml:space="preserve">Зміна адреси щодо закінченого будівництвом об’єкта у разі об’єднання, поділу або виділення частки </w:t>
            </w:r>
            <w:r>
              <w:rPr>
                <w:rFonts w:eastAsia="Calibri"/>
                <w:color w:val="333333"/>
                <w:kern w:val="0"/>
                <w:sz w:val="24"/>
                <w:szCs w:val="20"/>
                <w:lang w:val="uk-UA" w:eastAsia="en-US" w:bidi="ar-SA"/>
              </w:rPr>
              <w:t>(крім квартири, житлового обо нежитлового приміщення тощо)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01240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Присвоєння адреси самочинно збудованим об’єктам, на які визнано право власності за рішенням суду після прийняття в експлутацію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lang w:val="uk-U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 xml:space="preserve">Внесення відомостей до реєстру будівельної діяльності </w:t>
            </w:r>
            <w:r>
              <w:rPr>
                <w:rFonts w:eastAsia="Calibri"/>
                <w:color w:val="333333"/>
                <w:kern w:val="0"/>
                <w:sz w:val="24"/>
                <w:szCs w:val="20"/>
                <w:lang w:val="uk-UA" w:eastAsia="en-US" w:bidi="ar-SA"/>
              </w:rPr>
              <w:t>(ЄДЕССБ) при присвоєння, зміну, корегування адреси об’єктам до запровадження електронної системи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lang w:val="uk-U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про невикористання житлових чеків для приватизації державного житлового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свідоцтва про право власності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свідоцтва про право власності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01352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Рішення щодо продовження строку проживання в жилих приміщеннях з фондів житла для тимчасового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громадян, які потребують поліпшення житлових умов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громадян, які потребують надання житлового приміщення з фондів житла для тимчасового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про надання грошової компенсації постраждалим, житлові будинки (квартири) яких зруйновано внаслідок надзвичайної ситуації воєнного характеру, спричиненої збройною агресією Російської Федерації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01746</w:t>
            </w:r>
            <w:r>
              <w:rPr>
                <w:rFonts w:eastAsia="Calibri"/>
                <w:color w:val="000000"/>
                <w:kern w:val="0"/>
                <w:sz w:val="24"/>
                <w:szCs w:val="20"/>
                <w:vertAlign w:val="superscript"/>
                <w:lang w:val="uk-UA" w:eastAsia="en-US" w:bidi="ar-SA"/>
              </w:rPr>
              <w:t>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5"/>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ордера на жиле приміщення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00238</w:t>
            </w:r>
            <w:r>
              <w:rPr>
                <w:rFonts w:eastAsia="Calibri"/>
                <w:color w:val="000000"/>
                <w:kern w:val="0"/>
                <w:sz w:val="24"/>
                <w:szCs w:val="20"/>
                <w:vertAlign w:val="superscript"/>
                <w:lang w:val="uk-UA" w:eastAsia="en-US" w:bidi="ar-SA"/>
              </w:rPr>
              <w:t>3</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6. Послуги у сфері земельних відносин, екології, водного та лісового господарства</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uppressAutoHyphens w:val="true"/>
              <w:bidi w:val="0"/>
              <w:spacing w:lineRule="auto" w:line="240" w:before="0" w:after="0"/>
              <w:ind w:left="737" w:right="-113" w:hanging="34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01161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продаж земельних ділянок державної та комунальної власності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про наявність у фізичної особи земельних ділянок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розроблення проекту землеустрою щодо відведення земельної ділянки у межах безоплатної приватизації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проекту землеустрою щодо відведення земельної ділянки у разі зміни її цільового призначення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00217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надання дозволу на розробку технічної документації із землеустрою щодо встановлення (відновлення) меж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надання дозволу на розробку технічної документації із землеустрою щодо поділу та об'єднання земельних ділянок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затвердження технічної документації щодо поділу та об’єднання земельних ділянок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припинення права користування земельною ділянкою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4"/>
                <w:lang w:val="uk-UA" w:eastAsia="en-US" w:bidi="ar-SA"/>
              </w:rPr>
            </w:pPr>
            <w:r>
              <w:rPr>
                <w:rFonts w:eastAsia="Calibri"/>
                <w:color w:val="333333"/>
                <w:kern w:val="0"/>
                <w:sz w:val="24"/>
                <w:szCs w:val="24"/>
                <w:lang w:val="uk-UA" w:eastAsia="en-US" w:bidi="ar-SA"/>
              </w:rPr>
              <w:t>Рішення  про поновлення договору  оренди землі на новий строк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160"/>
              <w:jc w:val="center"/>
              <w:rPr>
                <w:rFonts w:ascii="Times New Roman" w:hAnsi="Times New Roman" w:eastAsia="Calibri"/>
                <w:color w:val="333333"/>
                <w:kern w:val="0"/>
                <w:sz w:val="24"/>
                <w:szCs w:val="24"/>
                <w:lang w:val="ru-RU" w:eastAsia="en-US" w:bidi="ar-SA"/>
              </w:rPr>
            </w:pPr>
            <w:r>
              <w:rPr>
                <w:rFonts w:eastAsia="Calibri"/>
                <w:color w:val="333333"/>
                <w:kern w:val="0"/>
                <w:sz w:val="24"/>
                <w:szCs w:val="24"/>
                <w:lang w:val="ru-RU" w:eastAsia="en-US" w:bidi="ar-SA"/>
              </w:rPr>
              <w:t>Рішення про затвердження технічної документації із землеустрою щодо встановлення (відновлення) меж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внесення змін до рішення міської ради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sz w:val="24"/>
                <w:szCs w:val="24"/>
              </w:rPr>
            </w:pPr>
            <w:r>
              <w:rPr>
                <w:sz w:val="24"/>
                <w:szCs w:val="24"/>
              </w:rPr>
              <w:t>Рішення про продовження терміну дії рішення міської ради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бонітування ґрунтів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економічної оцінки земель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технічної документації з нормативної грошової оцінки земельної ділянки у межах населених пунктів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проекту землеустрою щодо відведення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Припинення права оренди земельної ділянки або її частини у разі добровільної відмови орендаря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викиди забруднюючих речовин в атмосферне повітря стаціонарними джерелами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викиди забруднюючих речовин в атмосферне повітря стаціонарними джерелами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провадження діяльності, спрямованої на штучні зміни стану атмосфери та атмосферних явищ у господарських цілях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провадження діяльності, спрямованої на штучні зміни стану атмосфери та атмосферних явищ у господарських цілях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здійснення операцій у сфері поводження з відходами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паспорта місць видалення відходів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реєстрових карт об’єктів утворення, оброблення та утилізації відходів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01149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декларації про відходи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погодження забудови площ залягання корисних копалин загальнодержавного 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земельної ділянки з видачею витягу з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(змін до них) про земельну ділянку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відомостей про землі в межах територій адміністративно-територіальних одиниць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до Державного земельного кадастру змін до відомостей про землі в межах територій адміністративно-територіальних одиниць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Внесення до Державного земельного кадастру відомостей про обмеження у використанні земель, встановлені безпосередньо законами та прийнятими відповідно до них нормативно-правовими актами,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Державна реєстрація обмежень у використанні земель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00078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Виправлення технічної помилки у відомостях Державного земельного кадастру не з вини органу, що здійснює його ведення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Виправлення технічної помилки у відомостях з Державного земельного кадастру, яка була допущена органом, що здійснює його ведення,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00080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00059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відомостей з Державного земельного кадастру у формі витягу з Державного земельного кадастру про обмеження у використанні земель з посиланням на документи, на підставі яких відомості про обмеження у використанні земель внесені до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Держгеонадрами та Держпраці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довідки, що містить узагальнену інформацію про землі (території)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наявність та розмір земельної частки (паю)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довідки про осіб, які отримали доступ до інформації про суб’єкта речового права у Державному земельному кадастрі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щодо відведення земельної ділянки для послідуючого продажу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щодо відведення земельної ділянки у користування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00210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згоди на передачу орендованої земельної ділянки в суборенду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відомостей з Державного земельного кадастру у формі витягу з Державного земельного кадастру про землі в межах території територіальної громади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відомостей з документації із землеустрою, що включена до Державного фонду документації із землеустрою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технічної документації про нормативну грошову оцінку земельної ділянки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00068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до Державного земельного кадастру відомостей про землі в межах територій територіальних громад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до Державного земельного кадастру змін до відомостей про землі в межах територій територіальних громад з видачею витягу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меліоративної мережі з видачею витягу з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меліоративну мережу з видачею витягу з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складової частини меліоративної мережі з видачею витягу з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Державна реєстрація змін до відомостей про складову частину меліоративної мережі з видачею витягу з Державного земельного кадастру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02450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02445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сертифіката племінних (генетичних) ресурсів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дозволу на спеціальне водокористування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00255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водокористування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спеціальне використання водних біоресурсів у рибогосподарських водних об’єктах (їх частинах)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спеціальне використання водних біоресурсів у рибогосподарських водних об’єктах (їх частинах)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01656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використання водних біоресурсів у рибогосподарських водних об’єктах (їх частинах)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Підтвердження законності вилучення водних біоресурсів із середовища їх існування та переробки продуктів лову (у разі необхідності суб’єкту господарювання для здійснення зовнішньоторговельних операцій)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спеціальне використання природних ресурсів у межах територій та об’єктів природно-заповідного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спеціальне використання природних ресурсів у межах територій та об’єктів природно-заповідного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днопоглиблювальні роботи, прокладання кабелів, трубопроводів та інших комунікацій на землях водного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00636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днопоглиблювальні роботи, прокладання кабелів, трубопроводів та інших комунікацій на землях водного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00635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днопоглиблювальні роботи, прокладання кабелів, трубопроводів та інших комунікацій на землях водного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у користування водних об’єктів на умовах оренди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Поновлення договору оренди водних об’єктів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01308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дозволу на переведення земельних лісових ділянок до нелісових земель у цілях, пов’язаних із веденням лісового господарства, без їх вилучення у постійного лісокористувача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виділення у встановленому порядку лісових ділянок для довгострокового тимчасового користування лісами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сертифіката про походження лісоматеріалів та виготовлених з них пиломатеріалів для здійснення експортних операцій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спеціального дозволу на спеціальне використання лісових ресурсів (лісорубний квиток, ордер, лісовий квиток)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спеціального дозволу на спеціальне використання лісових ресурсів (лісорубний квиток, ордер, лісовий квиток)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6"/>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спеціального дозволу на спеціальне використання лісових ресурсів (лісорубний квиток, ордер, лісовий квиток)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01318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color w:val="333333"/>
                <w:kern w:val="0"/>
                <w:sz w:val="24"/>
                <w:szCs w:val="24"/>
                <w:lang w:eastAsia="ru-RU" w:bidi="ar-SA"/>
              </w:rPr>
            </w:pPr>
            <w:r>
              <w:rPr>
                <w:rFonts w:eastAsia="Times New Roman" w:cs="Times New Roman"/>
                <w:b/>
                <w:color w:val="333333"/>
                <w:kern w:val="0"/>
                <w:sz w:val="24"/>
                <w:szCs w:val="24"/>
                <w:lang w:eastAsia="ru-RU" w:bidi="ar-SA"/>
              </w:rPr>
              <w:t>7. Послуги соціального характеру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0"/>
                <w:szCs w:val="20"/>
                <w:lang w:val="ru-RU" w:eastAsia="en-US" w:bidi="ar-SA"/>
              </w:rPr>
            </w:pPr>
            <w:r>
              <w:rPr>
                <w:rFonts w:eastAsia="Calibri"/>
                <w:color w:val="000000"/>
                <w:kern w:val="0"/>
                <w:sz w:val="20"/>
                <w:szCs w:val="20"/>
                <w:lang w:val="ru-RU" w:eastAsia="en-US" w:bidi="ar-SA"/>
              </w:rPr>
            </w:r>
          </w:p>
        </w:tc>
      </w:tr>
      <w:tr>
        <w:trPr>
          <w:trHeight w:val="108"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допомоги на проживання внутрішньо переміщеним особам</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внутрішньо переміщених осіб, які потребують надання житлового приміщення з фондів житла для тимчасового проживання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Рішення про продовження строку надання житлового приміщення з фондів житла для тимчасового проживання внутрішньо переміщених осіб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 батьків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Установлення статусу, видача посвідчень жертвам нацистських переслідувань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Установлення статусу, видача посвідчень ветеранам праці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довідки про взяття на облік внутрішньо переміщеної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статусу дитини, яка постраждала внаслідок воєнних дій та збройних конфліктів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Установлення статусу, видача посвідчень батькам багатодітної сім’ї та дитини з багатодітної сім’ї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Вклейка фотокартки в посвідчення дитини з багатодітної сім’ї у зв’язку з досягненням 14-річного віку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посвідчення батьків багатодітної сім’ї та дитини з багатодітної сім’ї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строку дії посвідчень батьків багатодітної сім’ї та дитини з багатодітної сім’ї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винагороди жінкам, яким присвоєно почесне звання України “Мати-героїня”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при народженні дитини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над якими встановлено опіку чи піклування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одиноким матерям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при усиновленні дитини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одному з батьків, усиновлювачам,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00959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допомоги на дітей, які виховуються у багатодітних сім’ях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00960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натуральної допомоги “пакунок малюка”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01775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грошової компенсації вартості одноразової натуральної допомоги “пакунок малюка”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Оплата послуг патронатного вихователя та виплата соціальної допомоги на утримання дитини в сім’ї патронатного вихователя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01981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укладення договорів, які підлягають нотаріальному посвідченню та (або) державній реєстрації, у тому числі договорів щодо поділу або обміну житлового будинку, квартири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відмови від майнових прав підопічного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стосовно укладення договорів щодо іншого цінного майна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опікуну на вчинення правочинів щодо видання письмових зобов’язань від імені підопічного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01980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посвідчення та (або) державній реєстрації, у тому числі щодо поділу або обміну житлового будинку, квартири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до реабілітаційних установ особам з інвалідністю, дітям з інвалідністю, дітям віком до трьох років, які належать до групи ризику щодо отримання інвалідності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00117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посвідчення особам з інвалідністю з дитинства та дітям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особам з інвалідністю замість санаторно-курортної путівки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проїзду до санаторно-курортного закладу (відділення спинального профілю) і назад особам, які супроводжують осіб з інвалідністю I та II групи з наслідками травм і захворюваннями хребта та спинного мозку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самостійного санаторно-курортного лікування осіб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осіб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особам з інвалідністю з дитинства та дітям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допомоги особі, яка проживає разом з особою з інвалідністю І чи ІІ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на догляд</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особам, які не мають права на пенсію, та особам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00096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довідки для отримання пільг особам з інвалідністю, які не мають права на пенсію чи соціальну допомогу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00141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надбавки на догляд за особами з інвалідністю з дитинства та дітьми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Компенсація вартості продуктів харчування громадянам, які постраждали внаслідок Чорнобильської катастрофи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категорії 1, або 2, або 3, потерпілим від радіаційного опромінення, віднесеним до категорії 1 або 2</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грошової/матеріальної допомоги особам з інвалідністю та дітям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державної соціальної допомоги малозабезпеченим сім’ям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пільги на оплату житла, комунальних послуг</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01974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Виплата одноразової матеріальної допомоги особам, які постраждали від торгівлі людьми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щодо надання соціальних послуг</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00139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02025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пільги на придбання палива, у тому числі рідкого, скрапленого балонного газу для побутових потреб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00157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рішення про направлення на комплексну реабілітацію (абілітацію) осіб з інвалідністю, дітей з інвалідністю, дітей віком до трьох років (включно), які належать до групи ризику щодо отримання інвалідності, до реабілітаційної установи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01996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Проведення державної атестації дитячих закладів оздоровлення та відпочинку і присвоєння їм відповідної категорії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01155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Заява про надання компенсації за знищений об’єкт нерухомого майна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r>
              <w:rPr>
                <w:rFonts w:eastAsia="Calibri"/>
                <w:color w:val="000000"/>
                <w:kern w:val="0"/>
                <w:sz w:val="24"/>
                <w:szCs w:val="20"/>
                <w:vertAlign w:val="superscript"/>
                <w:lang w:val="uk-UA" w:eastAsia="en-US" w:bidi="ar-SA"/>
              </w:rPr>
              <w:t>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Надання компенсації витрат за тимчасове розміщення внутрішньо переміщених осіб, які перемістилися у період воєнного стану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02416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рішення про надання грошової допомоги постраждалим від надзвичайних ситуацій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01747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направлення для отримання послуг з соціальної та професійної адаптації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01586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00241</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постраждалого учасника Революції Гідності, видача посвідчення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01588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постраждалого учасника Революції Гідності за заявою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01198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 належні для отримання жилі приміщення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01622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учасника війни, видача посвідчення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00239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Забезпечення санаторно-курортними путівками постраждалих учасників Революції Гідності, ветеранів війни з числа учасників антитерористичної операції/операції Об’єднаних сил, членів сімей загиблих (померлих) таких осіб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00227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02499</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виплати щорічної разової грошової допомоги ветеранам війни і жертвам нацистських переслідувань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02347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02216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7"/>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02500</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8. Послуги Міністерства у справах ветеранів</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Встановлення статусу учасника бойових дій, видача посвідчення</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Позбавлення статусу учасника бойових дій за заявою такої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01877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01597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00105</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02502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8"/>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Надання відомостей з Єдиного державного реєстру ветеранів війни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02266</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9. Комплексна послуга "Я-ВЕТЕРАН"</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Відшкодування витрат для створення умов з інтеграції ветеранів та членів їх сімей, зокрема таких, що були евакуйовані, за новим місцем проживання в Україні шляхом надання одноразової фінансової допомоги у створенні належних умов для ведення підприємницької або незалежної професійної діяльності</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щодо функціонування гарячої лінії кризової підтримки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допомога у зборі і оформленні документів, направлення на розгляд відповідної комісії по встановленню статусу та видачі посвідчень учасникам війни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бойових дій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Позбавлення статусу учасника бойових дій, учасника війни за заявою особи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Поновлення посвідчення учасникам бойових дій замість непридатного/втраченого та у разі зміни особистих даних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Поховання з військовими почестями загиблих військовослужбовців, організація та проведення військового поховального ритуалу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Сприяння у підготовці і оформленні документів та направлення на ВЛК для встановлення причинного зв’язку захворювань, травм, поранень, контузій, каліцтв з військовою службою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Оформлення та видача посвідчень члена сім’ї та дитини військовослужбовця, який загинув (помер) під час проходження військової служби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посвідчень членам сімей зниклого безвісти військовослужбовця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листів-талонів на право одержання проїзних квитків з 50-відсотковою знижкою терміном дії з 2022-2026</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Призначення та виплата одноразової грошової допомоги у разі загибелі (смерті) військовослужбовців Збройних Сил України в період дії воєнного стану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учасникам бойових дій та постраждалим учасникам Революції Гідності 75-процентної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75-процентної знижки вартості палива, в тому числі рідкого, в межах норм, встановлених для продажу населенню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особам з інвалідністю внаслідок війни 100-процентної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100-процентної знижки вартості палива, в тому числі рідкого, в межах норм, встановлених для продажу населенню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учасникам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сім’ям загиблих (померлих) ветеранів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осіб, які мають особливі заслуги перед Батьківщиною, і членів їх сімей, які проживають разом з ними, від квартирної плати незалежно від форми власності житлового фонду, від оплати комунальних послуг (водопостачання, каналізація, газ, електроенергія, гаряче водопостачання, центральне опалення, а в будинках, що не мають центрального опалення, - надання палива, придбаного у межах норм, установлених для продажу населенню, та інші види комунальних послуг), від оплати скрапленого балонного газу для побутових потреб, від плати за користування домашнім телефоном і позавідомчою охоронною сигналізацією житла незалежно від виду житлового фонду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Професійна консультація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про соціальні послуги служби зайнятості та консультування щодо механізму реєстрації на вебсайті державної служби зайнятості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щодо єдиного порталу вакансій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Реєстрація безробітних у службі зайнятості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Інформування про додаткові гарантії сприяння працевлаштуванню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мікрогрантів на створення або розвиток власного бізнесу в рамках державної програми “Є-Робота”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Видача ваучерів для підтримання конкурентоспроможності деяких категорій громадян на ринку праці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Професійна підготовка, перепідготовка та підвищення кваліфікації зареєстрованих безробітних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Виплата грошової компенсації вартості за самостійно придбані засоби реабілітації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консультацій з найактуальніших питань законодавства про працю через подання запитів, звернень, особистий прийом або через ресурс “Інтерактивний інспектор”</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онлайн консультацій з питань законодавства про працю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офлайн консультацій з питань законодавства про працю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допомоги при працевлаштуванні, що включає консультативний супровід при працевлаштуванні в частині дотримання законодавства про працю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Складення заяв, скарг та інших документів правового характеру (крім документів процесуального характеру (в порядку ч. 2 ст. 7 Закону України «Про безоплатну правову допомогу»)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Забезпечення доступу особи до безоплатної вторинної правової допомоги (в порядку ч. 2 ст. 7 Закону України «Про безоплатну правову допомогу»)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правової інформації, консультації/роз’яснення з правового питання (усно/письмово) в порядку ч. 2 ст. 7 Закону України «Про безоплатну правову допомогу»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пільги на безоплатне одержання ліків, лікарських засобів, імунобіологічних препаратів та виробів медичного призначення за рецептами лікарів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Реабілітаційна допомога дорослим та дітям у стаціонарних умовах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Супровід і лікування дорослих та дітей з психічними розладами на первинному рівні медичної допомоги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допомоги незахищеним верствам населення та особам, які опинилися у складних життєвих обставинах,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13.12.2019 № 534-20/VІІ 9 (зі змінами)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фінансової підтримки громадським об’єднанням ветеранів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 грудня 2019 року №534-20/VІІ (зі змінами)</w:t>
              <w:br/>
              <w:t>*За наявності фінансування з обласного бюджету.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Повна оплата навчання за рахунок коштів загального фонду державного або місцевих бюджетів у разі зарахування вступників на навчання за державним (регіональним) замовленням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Першочергове переведення осіб, зарахованих на навчання за кошти фізичних або юридичних осіб, на навчання на місцях державного (регіонального) замовлення у державних або комунальних закладах освіти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забезпечення підручниками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Безоплатний доступ до Інтернету, систем баз даних у державних та комунальних закладах освіти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проживання в учнівських та студентських гуртожитках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Вступ поза конкурсом до державних та комунальних закладів вищої та фахової передвищої освіти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Право на позаконкурсний вступ до закладів професійної (професійно-технічної) освіти і на курси для одержання відповідних професій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Безкоштовне харчування дітей загиблих (померлих) ветеранів війни, Захисників і Захисниць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Оздоровлення та відпочинок дітей, які потребують особливої соціальної уваги та підтримки, і дітей, батьки яких є учасниками бойових дій або загиблих (зниклих безвісти), у комунальному закладі “Дитячий оздоровчий центр соціальної реабілітації санаторного типу “Перлина Придніпров’я” Дніпропетровської обласної ради”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Навчальні курси з іноземних мов та інформаційних технологій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від орендної плати за нежилі приміщення, що орендуються особами з інвалідністю внаслідок війни під гаражі для спеціальних засобів пересування (автомобілів, мотоколясок, велоколясок тощо) та безплатне надання для цих засобів гаражів-стоянок незалежно від їх форми власності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Безплатне зубопротезування (за винятком протезування з дорогоцінних металів)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01396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Безплатне виготовлення і ремонт зубних протезів (крім виготовлених з дорогоцінних металів)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Безоплатне поховання померлих (загиблих) осіб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Звільнення громадських об'єднань ветеранів війни від плати за користування комунальними послугами в межах середніх норм споживання, телефоном у приміщеннях та будинках, які вони займають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Виплата компенсації на бензин (пальне), ремонт, технічне обслуговування автомобілів особам з інвалідністю внаслідок війни та особам, які мають особливі заслуги перед Україною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Надання фінансової підтримки громадським об’єднанням ветеранів в рамках дії заходів місцевих програм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Позачерговий безплатний капітальний ремонт власних жилих будинків і квартир та першочерговий поточний ремонт жилих будинків і квартир осіб з інвалідністю внаслідок війни, членів сімей загиблих (померлих) ветеранів війни, Захисників і Захисниць України та осіб, які мають особливі заслуги перед Батьківщиною</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9"/>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Першочергове відведення земельних ділянок для індивідуального житлового будівництва, садівництва і городництва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kern w:val="0"/>
                <w:sz w:val="24"/>
                <w:szCs w:val="20"/>
                <w:lang w:val="ru-RU" w:eastAsia="en-US" w:bidi="ar-SA"/>
              </w:rPr>
            </w:pPr>
            <w:r>
              <w:rPr>
                <w:rFonts w:eastAsia="Calibri"/>
                <w:kern w:val="0"/>
                <w:sz w:val="24"/>
                <w:szCs w:val="20"/>
                <w:lang w:val="ru-RU" w:eastAsia="en-US" w:bidi="ar-SA"/>
              </w:rPr>
              <w:t>Відсутня</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10. Послуги у сфері господарської діяльності</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осіб, які здійснюють господарську діяльність з виробництва та маркування дерев’яного пакувального матеріалу</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01612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Відомча реєстрація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01645</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01719</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експлуатаційного дозволу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експлуатаційного дозволу для потужностей (об’єктів) з переробки неїстівних продуктів тваринного походження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00654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потужностей оператора ринку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01399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відомостей Державного реєстру потужностей операторів ринку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відомостей про припинення використання потужності до Державного реєстру потужностей операторів ринку використання потужності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01401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Затвердження експортної потужності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01611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роботи з радіоактивними речовинами та іншими джерелами іонізуючого випромінювання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00300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Реєстрація пасіки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01454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декларації відповідності матеріально-технічної бази вимогам законодавства з питань охорони праці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зміни відомостей у декларації відповідності матеріально-технічної бази вимогам законодавства з питань охорони праці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01451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дозволу на виконання робіт підвищеної небезпеки та на експлуатацію (застосування) машин, механізмів, устатковання підвищеної небезпеки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01430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дозволу на виконання робіт підвищеної небезпеки та на експлуатацію (застосування) машин, механізмів, устатковання підвищеної небезпеки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Продовження строку дії дозволу на виконання робіт підвищеної небезпеки та на експлуатацію (застосування) машин, механізмів, устатковання підвищеної небезпеки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01446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Анулювання дозволу на виконання робіт підвищеної небезпеки та на експлуатацію (застосування) машин, механізмів, устатковання підвищеної небезпеки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великотоннажних та інших технологічних транспортних засобів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00864</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Тимчасова реєстрація великотоннажних та інших технологічних транспортних засобів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00737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Зняття з обліку великотоннажних та інших технологічних транспортних засобів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00712</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Перереєстрація великотоннажних та інших технологічних транспортних засобів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00727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гірничого відводу для розробки родовищ корисних копалин місцевого 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00897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гірничого відводу для розробки родовищ корисних копалин, будівництва і експлуатації підземних споруд та інших цілей, не пов'язаних з видобуванням корисних копалин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01028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Переоформлення гірничого відводу для розробки родовищ корисних копалин, будівництва і експлуатації підземних споруд та інших цілей, не пов‘язаних з видобуванням корисних копалин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01053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діючих об’єктів, у тому числі військового та оборонного призначення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00206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документації на розроблювані техніку, технології, устаткування, інструменти тощо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uk-UA"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щодо ввезення, реалізації та використання сировини, продукції (вироби, обладнання, технологічні лінії тощо) іноземного виробництва за умови відсутності даних щодо їх безпечності для здоров’я населення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ru-RU"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висновку державної санітарно-епідеміологічної експертизи щодо продукції, напівфабрикатів, речовин, матеріалів та небезпечних факторів, використання, передача або збут яких може завдати шкоди здоров’ю людей</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left"/>
              <w:rPr>
                <w:rFonts w:ascii="Calibri" w:hAnsi="Calibri" w:eastAsia="Calibri"/>
                <w:kern w:val="0"/>
                <w:sz w:val="24"/>
                <w:szCs w:val="24"/>
                <w:lang w:val="ru-RU" w:eastAsia="en-US" w:bidi="ar-SA"/>
              </w:rPr>
            </w:pPr>
            <w:r>
              <w:rPr>
                <w:rFonts w:eastAsia="Calibri"/>
                <w:kern w:val="0"/>
                <w:sz w:val="24"/>
                <w:szCs w:val="24"/>
                <w:lang w:val="ru-RU" w:eastAsia="en-US" w:bidi="ar-SA"/>
              </w:rPr>
              <w:t xml:space="preserve">         </w:t>
            </w:r>
            <w:r>
              <w:rPr>
                <w:rFonts w:eastAsia="Calibri"/>
                <w:kern w:val="0"/>
                <w:sz w:val="24"/>
                <w:szCs w:val="24"/>
                <w:lang w:val="ru-RU" w:eastAsia="en-US" w:bidi="ar-SA"/>
              </w:rPr>
              <w:t>00206</w:t>
            </w:r>
            <w:r>
              <w:rPr>
                <w:rFonts w:eastAsia="Calibri"/>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на придбання вибухових матеріалів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на зберігання вибухових матеріалів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гірничих відводів для розробки родовищ корисних копалин місцевого 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01081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застосування праці іноземців та осіб без громадянства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Скасування дозволу на застосування праці іноземців та осіб без громадянства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Внесення змін до дозволу на застосування праці іноземців та осіб без громадянства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Продовження дії дозволу на застосування праці іноземців та осіб без громадянства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01173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Повідомна реєстрація галузевих (міжгалузевих) і територіальних угод, колективних договорів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01268</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Державна реєстрація договорів (контрактів) про спільну інвестиційну діяльність за участю іноземного інвестора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дубліката картки реєстрації договору (контракту) про спільну інвестиційну діяльність за участю іноземного інвестора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01137</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консервацію, реставрацію, реабілітацію, музеєфікацію, ремонт, пристосування пам’яток місцевого значення</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01470</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01113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дубліката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01282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Внесення суб’єкта господарювання до Державного реєстру видавців, виготовлювачів і розповсюджувачів видавничої продукції та видача свідоцтва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01325</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Переоформлення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01341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01461</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Переоформлення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Анулювання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Державна реєстрація змін і доповнень до договорів (контрактів) про спільну інвестиційну діяльність за участю іноземного інвестора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01139</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дозволу на поїздку територією іноземних держав під час виконання нерегулярних перевезень пасажирів автомобільним транспортом у міжнародному сполученні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00466</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посвідчення судноводія малого/маломірного судна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01242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Обмін свідоцтва судноводія малого/маломірного судна старого зразка на посвідчення судноводія малого/маломірного судна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position w:val="0"/>
                <w:sz w:val="24"/>
                <w:sz w:val="24"/>
                <w:szCs w:val="24"/>
                <w:vertAlign w:val="baseline"/>
                <w:lang w:val="uk-UA" w:eastAsia="en-US" w:bidi="ar-SA"/>
              </w:rPr>
            </w:pPr>
            <w:r>
              <w:rPr>
                <w:rFonts w:eastAsia="Calibri"/>
                <w:color w:val="000000"/>
                <w:kern w:val="0"/>
                <w:position w:val="0"/>
                <w:sz w:val="24"/>
                <w:sz w:val="24"/>
                <w:szCs w:val="24"/>
                <w:vertAlign w:val="baseline"/>
                <w:lang w:val="uk-UA" w:eastAsia="en-US" w:bidi="ar-SA"/>
              </w:rPr>
              <w:t>01243</w:t>
            </w:r>
            <w:r>
              <w:rPr>
                <w:rFonts w:eastAsia="Calibri"/>
                <w:color w:val="000000"/>
                <w:kern w:val="0"/>
                <w:sz w:val="24"/>
                <w:szCs w:val="24"/>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посвідчення судноводія торговельного судна, яке допущено до плавання судноплавними річковими внутрішніми водними шляхами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0"/>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посвідчення судноводія торговельного судна, яке допущено до плавання Європейськими внутрішніми водними шляхами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01273</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посвідчення особи моряка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01292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Обмін посвідчення особи моряка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01302</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Обмін документів на право управління суднами внутрішнього плавання старих зразків на посвідчення судноводія торговельного судна, яке допущено до плавання судноплавними річковими внутрішніми водними шляхами, для роботи на судноплавних річкових внутрішніх водних шляхах України, а також на Європейських внутрішніх водних шляхах</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01294</w:t>
            </w:r>
            <w:r>
              <w:rPr>
                <w:rFonts w:eastAsia="Calibri"/>
                <w:color w:val="000000"/>
                <w:kern w:val="0"/>
                <w:sz w:val="24"/>
                <w:szCs w:val="20"/>
                <w:vertAlign w:val="superscript"/>
                <w:lang w:val="uk-UA" w:eastAsia="en-US" w:bidi="ar-SA"/>
              </w:rPr>
              <w:t>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Присвоєння спортивних розрядів спортсменам: “Кандидат у майстри спорту України” та I спортивний розряд</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Присвоєння спортивних розрядів спортсменам: II та III спортивний розряд</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01252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Видача дозволу на розміщення зовнішньої реклами у межах населеного пункту</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00183</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Переоформлення дозволу на розміщення зовнішньої реклами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00184</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Продовження строку дії дозволу на розміщення зовнішньої реклами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color w:val="000000"/>
              </w:rPr>
            </w:pPr>
            <w:r>
              <w:rPr>
                <w:rFonts w:eastAsia="Calibri"/>
                <w:color w:val="000000"/>
                <w:kern w:val="0"/>
                <w:sz w:val="24"/>
                <w:szCs w:val="20"/>
                <w:lang w:val="ru-RU" w:eastAsia="en-US" w:bidi="ar-SA"/>
              </w:rPr>
              <w:t>Анулювання дозволу на розміщення зовнішньої реклами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00187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jc w:val="center"/>
              <w:rPr/>
            </w:pPr>
            <w:r>
              <w:rPr>
                <w:sz w:val="24"/>
                <w:szCs w:val="24"/>
              </w:rPr>
              <w:t>Відповідність намірів щодо місця розташування тимчасової споруди для провадження підприємницької діяльності (ТС)</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jc w:val="center"/>
              <w:rPr/>
            </w:pPr>
            <w:r>
              <w:rPr>
                <w:sz w:val="24"/>
                <w:szCs w:val="24"/>
              </w:rPr>
              <w:t>Переведення дачних і садових будинків, що відповідають державним будівельним нормам, у жилі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sz w:val="24"/>
                <w:szCs w:val="24"/>
              </w:rPr>
            </w:pPr>
            <w:r>
              <w:rPr>
                <w:sz w:val="24"/>
                <w:szCs w:val="24"/>
              </w:rPr>
              <w:t>Переведення нежитлових приміщень у житлові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sz w:val="24"/>
                <w:szCs w:val="24"/>
              </w:rPr>
            </w:pPr>
            <w:r>
              <w:rPr>
                <w:sz w:val="24"/>
                <w:szCs w:val="24"/>
              </w:rPr>
              <w:t>Переведення житлового приміщення (житлових будинків) у нежитлові під розміщення об’єктів невиробничої сфери</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t>відсутня</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1"/>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Normal"/>
              <w:widowControl w:val="false"/>
              <w:spacing w:before="0" w:after="160"/>
              <w:jc w:val="center"/>
              <w:rPr/>
            </w:pPr>
            <w:r>
              <w:rPr>
                <w:sz w:val="24"/>
                <w:szCs w:val="24"/>
              </w:rPr>
              <w:t>Корегування адреси об’єкту будівництва після корегування проектної документації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uk-UA" w:eastAsia="en-US" w:bidi="ar-SA"/>
              </w:rPr>
            </w:pPr>
            <w:r>
              <w:rPr>
                <w:rFonts w:eastAsia="Calibri"/>
                <w:color w:val="000000"/>
                <w:kern w:val="0"/>
                <w:sz w:val="24"/>
                <w:szCs w:val="20"/>
                <w:lang w:val="uk-UA" w:eastAsia="en-US" w:bidi="ar-SA"/>
              </w:rPr>
              <w:t>відсутня</w:t>
            </w:r>
          </w:p>
        </w:tc>
      </w:tr>
      <w:tr>
        <w:trPr/>
        <w:tc>
          <w:tcPr>
            <w:tcW w:w="8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4"/>
                <w:szCs w:val="24"/>
                <w:lang w:eastAsia="ru-RU" w:bidi="ar-SA"/>
              </w:rPr>
            </w:pPr>
            <w:r>
              <w:rPr>
                <w:rFonts w:eastAsia="Times New Roman" w:cs="Times New Roman"/>
                <w:b/>
                <w:kern w:val="0"/>
                <w:sz w:val="24"/>
                <w:szCs w:val="24"/>
                <w:lang w:eastAsia="ru-RU" w:bidi="ar-SA"/>
              </w:rPr>
              <w:t>11. Послуги Міністерства внутрішніх справ України</w:t>
            </w:r>
          </w:p>
          <w:p>
            <w:pPr>
              <w:pStyle w:val="Normal"/>
              <w:widowControl w:val="false"/>
              <w:suppressAutoHyphens w:val="true"/>
              <w:spacing w:lineRule="auto" w:line="240" w:before="0" w:after="0"/>
              <w:jc w:val="center"/>
              <w:rPr>
                <w:rFonts w:ascii="Times New Roman" w:hAnsi="Times New Roman" w:eastAsia="Times New Roman" w:cs="Times New Roman"/>
                <w:b/>
                <w:b/>
                <w:kern w:val="0"/>
                <w:sz w:val="20"/>
                <w:szCs w:val="20"/>
                <w:lang w:eastAsia="en-US" w:bidi="ar-SA"/>
              </w:rPr>
            </w:pPr>
            <w:r>
              <w:rPr>
                <w:rFonts w:eastAsia="Times New Roman" w:cs="Times New Roman"/>
                <w:b/>
                <w:kern w:val="0"/>
                <w:sz w:val="20"/>
                <w:szCs w:val="20"/>
                <w:lang w:eastAsia="en-US" w:bidi="ar-SA"/>
              </w:rPr>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b/>
                <w:b/>
                <w:sz w:val="20"/>
                <w:szCs w:val="24"/>
                <w:lang w:eastAsia="ru-RU"/>
              </w:rPr>
            </w:pPr>
            <w:r>
              <w:rPr>
                <w:b/>
                <w:sz w:val="20"/>
                <w:szCs w:val="24"/>
                <w:lang w:eastAsia="ru-RU"/>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top w:val="single" w:sz="4" w:space="0" w:color="000000"/>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Реєстрація, перереєстрація колісних транспортних засобів усіх категорій з видачею свідоцтва про реєстрацію та номерних знаків, зняття з обліку транспортного засобу з видачею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01815</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видачею номерних знаків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00521</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Перезакріплення індивідуального номерного знака</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01490</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свідоцтва про реєстрацію колісних транспортних засобів для виїзду за кордон</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00681</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тимчасового реєстраційного талона на право керування транспортним засобом</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00744</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Видача нового посвідчення водія на право керування транспортними засобами замість втраченого або викраденого</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00743</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Обмін посвідчення водія на право керування транспортними засобами (без складання іспитів)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00509</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Прийняття рішення про відшкодування витрат та збитків, пов’язаних з використанням військовослужбовцями Національної гвардії транспортних і плавучих засобів фізичних або юридичних осіб</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01730</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Прийняття теоретичного іспиту для отримання права на керування транспортними засобами відповідної категорії</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02427</w:t>
            </w:r>
            <w:r>
              <w:rPr>
                <w:rFonts w:eastAsia="Calibri"/>
                <w:color w:val="000000"/>
                <w:kern w:val="0"/>
                <w:sz w:val="24"/>
                <w:szCs w:val="20"/>
                <w:vertAlign w:val="superscript"/>
                <w:lang w:val="uk-UA" w:eastAsia="en-US" w:bidi="ar-SA"/>
              </w:rPr>
              <w:t>2</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погодження маршруту руху транспортного засобу під час дорожнього перевезення небезпечних вантажів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00167</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Анулювання погодження маршруту руху транспортного засобу під час дорожнього перевезення небезпечних вантажів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01480</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Переоформлення погодження маршруту руху транспортного засобу під час дорожнього перевезення небезпечних вантажів</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01468</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дозволу на участь у дорожньому русі транспортних засобів, вагові або габаритні параметри яких перевищують нормативні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00166</w:t>
            </w:r>
          </w:p>
        </w:tc>
      </w:tr>
      <w:tr>
        <w:trPr/>
        <w:tc>
          <w:tcPr>
            <w:tcW w:w="847" w:type="dxa"/>
            <w:tcBorders>
              <w:left w:val="single" w:sz="4" w:space="0" w:color="000000"/>
              <w:bottom w:val="single" w:sz="4" w:space="0" w:color="000000"/>
              <w:right w:val="single" w:sz="4" w:space="0" w:color="000000"/>
            </w:tcBorders>
          </w:tcPr>
          <w:p>
            <w:pPr>
              <w:pStyle w:val="Normal"/>
              <w:widowControl w:val="false"/>
              <w:numPr>
                <w:ilvl w:val="0"/>
                <w:numId w:val="12"/>
              </w:numPr>
              <w:suppressAutoHyphens w:val="true"/>
              <w:spacing w:lineRule="auto" w:line="240" w:before="0" w:after="0"/>
              <w:jc w:val="center"/>
              <w:rPr>
                <w:rFonts w:ascii="Times New Roman" w:hAnsi="Times New Roman" w:eastAsia="Times New Roman" w:cs="Times New Roman"/>
                <w:kern w:val="0"/>
                <w:sz w:val="20"/>
                <w:szCs w:val="24"/>
                <w:lang w:eastAsia="ru-RU" w:bidi="ar-SA"/>
              </w:rPr>
            </w:pPr>
            <w:r>
              <w:rPr>
                <w:rFonts w:eastAsia="Times New Roman" w:cs="Times New Roman"/>
                <w:kern w:val="0"/>
                <w:sz w:val="20"/>
                <w:szCs w:val="24"/>
                <w:lang w:eastAsia="ru-RU" w:bidi="ar-SA"/>
              </w:rPr>
            </w:r>
          </w:p>
        </w:tc>
        <w:tc>
          <w:tcPr>
            <w:tcW w:w="7794" w:type="dxa"/>
            <w:tcBorders>
              <w:left w:val="single" w:sz="4" w:space="0" w:color="000000"/>
              <w:bottom w:val="single" w:sz="4" w:space="0" w:color="000000"/>
              <w:right w:val="single" w:sz="4" w:space="0" w:color="000000"/>
            </w:tcBorders>
          </w:tcPr>
          <w:p>
            <w:pPr>
              <w:pStyle w:val="Style30"/>
              <w:widowControl w:val="false"/>
              <w:suppressAutoHyphens w:val="true"/>
              <w:spacing w:lineRule="auto" w:line="240" w:before="0" w:after="160"/>
              <w:jc w:val="center"/>
              <w:rPr>
                <w:rFonts w:ascii="Times New Roman" w:hAnsi="Times New Roman" w:eastAsia="Calibri"/>
                <w:color w:val="333333"/>
                <w:kern w:val="0"/>
                <w:sz w:val="24"/>
                <w:szCs w:val="20"/>
                <w:lang w:val="ru-RU" w:eastAsia="en-US" w:bidi="ar-SA"/>
              </w:rPr>
            </w:pPr>
            <w:r>
              <w:rPr>
                <w:rFonts w:eastAsia="Calibri"/>
                <w:color w:val="333333"/>
                <w:kern w:val="0"/>
                <w:sz w:val="24"/>
                <w:szCs w:val="20"/>
                <w:lang w:val="ru-RU" w:eastAsia="en-US" w:bidi="ar-SA"/>
              </w:rPr>
              <w:t>Видача витягу з інформаційно-аналітичної системи “Облік відомостей про притягнення особи до кримінальної відповідальності та наявності судимості”</w:t>
            </w:r>
          </w:p>
        </w:tc>
        <w:tc>
          <w:tcPr>
            <w:tcW w:w="1783" w:type="dxa"/>
            <w:tcBorders>
              <w:left w:val="single" w:sz="4" w:space="0" w:color="000000"/>
              <w:bottom w:val="single" w:sz="4" w:space="0" w:color="000000"/>
              <w:right w:val="single" w:sz="4" w:space="0" w:color="000000"/>
            </w:tcBorders>
            <w:vAlign w:val="center"/>
          </w:tcPr>
          <w:p>
            <w:pPr>
              <w:pStyle w:val="Style30"/>
              <w:widowControl w:val="false"/>
              <w:suppressAutoHyphens w:val="true"/>
              <w:spacing w:lineRule="auto" w:line="240" w:before="0" w:after="160"/>
              <w:jc w:val="center"/>
              <w:rPr>
                <w:rFonts w:ascii="Times New Roman" w:hAnsi="Times New Roman" w:eastAsia="Calibri"/>
                <w:color w:val="000000"/>
                <w:kern w:val="0"/>
                <w:sz w:val="24"/>
                <w:szCs w:val="20"/>
                <w:lang w:val="ru-RU" w:eastAsia="en-US" w:bidi="ar-SA"/>
              </w:rPr>
            </w:pPr>
            <w:r>
              <w:rPr>
                <w:rFonts w:eastAsia="Calibri"/>
                <w:color w:val="000000"/>
                <w:kern w:val="0"/>
                <w:sz w:val="24"/>
                <w:szCs w:val="20"/>
                <w:lang w:val="ru-RU" w:eastAsia="en-US" w:bidi="ar-SA"/>
              </w:rPr>
              <w:t>00935</w:t>
            </w:r>
            <w:r>
              <w:rPr>
                <w:rFonts w:eastAsia="Calibri"/>
                <w:color w:val="000000"/>
                <w:kern w:val="0"/>
                <w:sz w:val="24"/>
                <w:szCs w:val="20"/>
                <w:vertAlign w:val="superscript"/>
                <w:lang w:val="uk-UA" w:eastAsia="en-US" w:bidi="ar-SA"/>
              </w:rPr>
              <w:t>3</w:t>
            </w:r>
          </w:p>
        </w:tc>
      </w:tr>
    </w:tbl>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rFonts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1</w:t>
      </w:r>
      <w:r>
        <w:rPr>
          <w:rFonts w:eastAsia="Times New Roman" w:cs="Times New Roman"/>
          <w:sz w:val="24"/>
          <w:szCs w:val="24"/>
          <w:lang w:eastAsia="ru-RU"/>
        </w:rPr>
        <w:t xml:space="preserve"> надаватиметься після заміщення вакантної посади державного реєстратора.</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 xml:space="preserve">2 </w:t>
      </w:r>
      <w:r>
        <w:rPr>
          <w:rFonts w:eastAsia="Times New Roman" w:cs="Times New Roman"/>
          <w:sz w:val="24"/>
          <w:szCs w:val="24"/>
          <w:lang w:eastAsia="ru-RU"/>
        </w:rPr>
        <w:t>надаватиметься після встановлення в ЦНАП відповідного обладнання.</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rFonts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rFonts w:eastAsia="Times New Roman" w:cs="Times New Roman"/>
          <w:sz w:val="24"/>
          <w:szCs w:val="24"/>
          <w:vertAlign w:val="superscript"/>
          <w:lang w:eastAsia="ru-RU"/>
        </w:rPr>
      </w:pPr>
      <w:r>
        <w:rPr>
          <w:rFonts w:eastAsia="Times New Roman" w:cs="Times New Roman"/>
          <w:sz w:val="24"/>
          <w:szCs w:val="24"/>
          <w:vertAlign w:val="superscript"/>
          <w:lang w:eastAsia="ru-RU"/>
        </w:rPr>
      </w:r>
    </w:p>
    <w:p>
      <w:pPr>
        <w:pStyle w:val="Normal"/>
        <w:tabs>
          <w:tab w:val="clear" w:pos="708"/>
          <w:tab w:val="left" w:pos="1320" w:leader="none"/>
        </w:tabs>
        <w:spacing w:lineRule="auto" w:line="240" w:before="0" w:after="0"/>
        <w:ind w:left="142" w:right="0" w:hanging="142"/>
        <w:jc w:val="both"/>
        <w:rPr/>
      </w:pPr>
      <w:r>
        <w:rPr>
          <w:rFonts w:eastAsia="Times New Roman" w:cs="Times New Roman"/>
          <w:sz w:val="24"/>
          <w:szCs w:val="24"/>
          <w:vertAlign w:val="superscript"/>
          <w:lang w:eastAsia="ru-RU"/>
        </w:rPr>
        <w:t xml:space="preserve">3 </w:t>
      </w:r>
      <w:r>
        <w:rPr>
          <w:rFonts w:eastAsia="Times New Roman" w:cs="Times New Roman"/>
          <w:sz w:val="24"/>
          <w:szCs w:val="24"/>
          <w:lang w:eastAsia="ru-RU"/>
        </w:rPr>
        <w:t>надаватиметься після отримання від надавача послуги інформаційної та технологічної</w:t>
      </w:r>
    </w:p>
    <w:p>
      <w:pPr>
        <w:pStyle w:val="Normal"/>
        <w:tabs>
          <w:tab w:val="clear" w:pos="708"/>
          <w:tab w:val="left" w:pos="1320" w:leader="none"/>
        </w:tabs>
        <w:spacing w:lineRule="auto" w:line="240" w:before="0" w:after="0"/>
        <w:ind w:right="0" w:hanging="0"/>
        <w:jc w:val="both"/>
        <w:rPr/>
      </w:pPr>
      <w:r>
        <w:rPr>
          <w:rFonts w:eastAsia="Times New Roman" w:cs="Times New Roman"/>
          <w:sz w:val="24"/>
          <w:szCs w:val="24"/>
          <w:lang w:eastAsia="ru-RU"/>
        </w:rPr>
        <w:t xml:space="preserve"> </w:t>
      </w:r>
      <w:r>
        <w:rPr>
          <w:rFonts w:eastAsia="Times New Roman" w:cs="Times New Roman"/>
          <w:sz w:val="24"/>
          <w:szCs w:val="24"/>
          <w:lang w:eastAsia="ru-RU"/>
        </w:rPr>
        <w:t>картки.</w:t>
      </w:r>
    </w:p>
    <w:p>
      <w:pPr>
        <w:pStyle w:val="Normal"/>
        <w:tabs>
          <w:tab w:val="clear" w:pos="708"/>
          <w:tab w:val="left" w:pos="1320" w:leader="none"/>
        </w:tabs>
        <w:spacing w:lineRule="auto" w:line="240" w:before="0" w:after="0"/>
        <w:ind w:left="142" w:right="0" w:hanging="142"/>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ind w:left="142" w:right="0" w:hanging="142"/>
        <w:jc w:val="both"/>
        <w:rPr>
          <w:vertAlign w:val="superscript"/>
        </w:rPr>
      </w:pPr>
      <w:r>
        <w:rPr>
          <w:rFonts w:eastAsia="Times New Roman" w:cs="Times New Roman"/>
          <w:sz w:val="24"/>
          <w:szCs w:val="24"/>
          <w:vertAlign w:val="superscript"/>
          <w:lang w:eastAsia="ru-RU"/>
        </w:rPr>
        <w:t xml:space="preserve">4 </w:t>
      </w:r>
      <w:r>
        <w:rPr>
          <w:rFonts w:eastAsia="Times New Roman" w:cs="Times New Roman"/>
          <w:position w:val="0"/>
          <w:sz w:val="24"/>
          <w:sz w:val="24"/>
          <w:szCs w:val="24"/>
          <w:vertAlign w:val="baseline"/>
          <w:lang w:eastAsia="ru-RU"/>
        </w:rPr>
        <w:t>надаватиметься після виведення Нікопольської міської територіальної громади із зони активних бойових дій.</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Начальник відділу “Центр надання</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адміністративних послуг м. Нікополя”                                                      Неля ПРИЙМАК</w:t>
      </w:r>
    </w:p>
    <w:p>
      <w:pPr>
        <w:pStyle w:val="Normal"/>
        <w:tabs>
          <w:tab w:val="clear" w:pos="708"/>
          <w:tab w:val="left" w:pos="13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Spacing"/>
        <w:spacing w:lineRule="auto" w:line="264"/>
        <w:jc w:val="right"/>
        <w:rPr>
          <w:rFonts w:ascii="Times New Roman" w:hAnsi="Times New Roman" w:cs="Times New Roman"/>
          <w:sz w:val="28"/>
          <w:szCs w:val="28"/>
          <w:lang w:val="uk-UA"/>
        </w:rPr>
      </w:pPr>
      <w:r>
        <w:rPr/>
      </w:r>
    </w:p>
    <w:sectPr>
      <w:headerReference w:type="default" r:id="rId4"/>
      <w:type w:val="nextPage"/>
      <w:pgSz w:w="11906" w:h="16838"/>
      <w:pgMar w:left="1701" w:right="566"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8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9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1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1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5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24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34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34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40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46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47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841004"/>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qFormat/>
    <w:rsid w:val="00e01a16"/>
    <w:pPr>
      <w:keepNext w:val="true"/>
      <w:jc w:val="center"/>
      <w:outlineLvl w:val="0"/>
    </w:pPr>
    <w:rPr>
      <w:b/>
      <w:bCs/>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d14c22"/>
    <w:rPr>
      <w:rFonts w:ascii="Segoe UI" w:hAnsi="Segoe UI" w:eastAsia="Times New Roman" w:cs="Segoe UI"/>
      <w:sz w:val="18"/>
      <w:szCs w:val="18"/>
      <w:lang w:val="uk-UA" w:eastAsia="ru-RU"/>
    </w:rPr>
  </w:style>
  <w:style w:type="character" w:styleId="Style14" w:customStyle="1">
    <w:name w:val="Верх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yle15" w:customStyle="1">
    <w:name w:val="Ниж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rong" w:customStyle="1">
    <w:name w:val="Strong"/>
    <w:qFormat/>
    <w:rPr>
      <w:b/>
      <w:bCs/>
    </w:rPr>
  </w:style>
  <w:style w:type="character" w:styleId="11" w:customStyle="1">
    <w:name w:val="Заголовок 1 Знак"/>
    <w:basedOn w:val="DefaultParagraphFont"/>
    <w:qFormat/>
    <w:rsid w:val="00e01a16"/>
    <w:rPr>
      <w:rFonts w:ascii="Times New Roman" w:hAnsi="Times New Roman" w:eastAsia="Times New Roman" w:cs="Times New Roman"/>
      <w:b/>
      <w:bCs/>
      <w:sz w:val="36"/>
      <w:szCs w:val="24"/>
      <w:lang w:val="uk-UA" w:eastAsia="ru-RU"/>
    </w:rPr>
  </w:style>
  <w:style w:type="character" w:styleId="Style16" w:customStyle="1">
    <w:name w:val="Заголовок Знак"/>
    <w:basedOn w:val="DefaultParagraphFont"/>
    <w:qFormat/>
    <w:rsid w:val="00e01a16"/>
    <w:rPr>
      <w:rFonts w:ascii="Times New Roman" w:hAnsi="Times New Roman" w:eastAsia="Times New Roman" w:cs="Times New Roman"/>
      <w:b/>
      <w:sz w:val="24"/>
      <w:szCs w:val="20"/>
      <w:lang w:val="uk-UA" w:eastAsia="ru-RU"/>
    </w:rPr>
  </w:style>
  <w:style w:type="character" w:styleId="Style17" w:customStyle="1">
    <w:name w:val="Основной текст Знак"/>
    <w:basedOn w:val="DefaultParagraphFont"/>
    <w:qFormat/>
    <w:rsid w:val="00e01a16"/>
    <w:rPr>
      <w:rFonts w:ascii="Times New Roman" w:hAnsi="Times New Roman" w:eastAsia="Times New Roman" w:cs="Times New Roman"/>
      <w:sz w:val="28"/>
      <w:szCs w:val="24"/>
      <w:lang w:val="uk-UA" w:eastAsia="zh-CN"/>
    </w:rPr>
  </w:style>
  <w:style w:type="character" w:styleId="3" w:customStyle="1">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12pt" w:customStyle="1">
    <w:name w:val="Основной текст (3) + 12 pt"/>
    <w:basedOn w:val="3"/>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8" w:customStyle="1">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2pt" w:customStyle="1">
    <w:name w:val="Основной текст + 12 pt"/>
    <w:basedOn w:val="Style18"/>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9">
    <w:name w:val="Символ нумерації"/>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rsid w:val="00e01a16"/>
    <w:pPr/>
    <w:rPr>
      <w:sz w:val="28"/>
      <w:lang w:eastAsia="zh-CN"/>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customStyle="1">
    <w:name w:val="Покажчик"/>
    <w:basedOn w:val="Normal"/>
    <w:qFormat/>
    <w:pPr>
      <w:suppressLineNumbers/>
    </w:pPr>
    <w:rPr>
      <w:rFonts w:cs="Arial"/>
    </w:rPr>
  </w:style>
  <w:style w:type="paragraph" w:styleId="Style25">
    <w:name w:val="Title"/>
    <w:basedOn w:val="Normal"/>
    <w:next w:val="Style21"/>
    <w:qFormat/>
    <w:rsid w:val="00e01a16"/>
    <w:pPr>
      <w:jc w:val="center"/>
    </w:pPr>
    <w:rPr>
      <w:b/>
      <w:szCs w:val="20"/>
    </w:rPr>
  </w:style>
  <w:style w:type="paragraph" w:styleId="Caption">
    <w:name w:val="caption"/>
    <w:basedOn w:val="Normal"/>
    <w:qFormat/>
    <w:pPr>
      <w:suppressLineNumbers/>
      <w:spacing w:before="120" w:after="120"/>
    </w:pPr>
    <w:rPr>
      <w:rFonts w:cs="Arial"/>
      <w:i/>
      <w:iCs/>
    </w:rPr>
  </w:style>
  <w:style w:type="paragraph" w:styleId="BalloonText">
    <w:name w:val="Balloon Text"/>
    <w:basedOn w:val="Normal"/>
    <w:uiPriority w:val="99"/>
    <w:semiHidden/>
    <w:unhideWhenUsed/>
    <w:qFormat/>
    <w:rsid w:val="00d14c22"/>
    <w:pPr/>
    <w:rPr>
      <w:rFonts w:ascii="Segoe UI" w:hAnsi="Segoe UI" w:cs="Segoe UI"/>
      <w:sz w:val="18"/>
      <w:szCs w:val="18"/>
    </w:rPr>
  </w:style>
  <w:style w:type="paragraph" w:styleId="ListParagraph">
    <w:name w:val="List Paragraph"/>
    <w:basedOn w:val="Normal"/>
    <w:uiPriority w:val="34"/>
    <w:qFormat/>
    <w:rsid w:val="00fb678f"/>
    <w:pPr>
      <w:spacing w:before="0" w:after="0"/>
      <w:ind w:left="720" w:hanging="0"/>
      <w:contextualSpacing/>
    </w:pPr>
    <w:rPr/>
  </w:style>
  <w:style w:type="paragraph" w:styleId="Style26" w:customStyle="1">
    <w:name w:val="Верхній і нижній колонтитули"/>
    <w:basedOn w:val="Normal"/>
    <w:qFormat/>
    <w:pPr/>
    <w:rPr/>
  </w:style>
  <w:style w:type="paragraph" w:styleId="Style27">
    <w:name w:val="Header"/>
    <w:basedOn w:val="Normal"/>
    <w:uiPriority w:val="99"/>
    <w:unhideWhenUsed/>
    <w:rsid w:val="008221b0"/>
    <w:pPr>
      <w:tabs>
        <w:tab w:val="clear" w:pos="708"/>
        <w:tab w:val="center" w:pos="4819" w:leader="none"/>
        <w:tab w:val="right" w:pos="9639" w:leader="none"/>
      </w:tabs>
    </w:pPr>
    <w:rPr/>
  </w:style>
  <w:style w:type="paragraph" w:styleId="Style28">
    <w:name w:val="Footer"/>
    <w:basedOn w:val="Normal"/>
    <w:uiPriority w:val="99"/>
    <w:unhideWhenUsed/>
    <w:rsid w:val="008221b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140a1b"/>
    <w:pPr>
      <w:spacing w:beforeAutospacing="1" w:afterAutospacing="1"/>
    </w:pPr>
    <w:rPr>
      <w:lang w:val="ru-RU" w:eastAsia="en-GB"/>
    </w:rPr>
  </w:style>
  <w:style w:type="paragraph" w:styleId="Rvps2" w:customStyle="1">
    <w:name w:val="rvps2"/>
    <w:basedOn w:val="Normal"/>
    <w:uiPriority w:val="99"/>
    <w:qFormat/>
    <w:rsid w:val="00140a1b"/>
    <w:pPr>
      <w:spacing w:beforeAutospacing="1" w:afterAutospacing="1"/>
    </w:pPr>
    <w:rPr>
      <w:lang w:val="ru-RU"/>
    </w:rPr>
  </w:style>
  <w:style w:type="paragraph" w:styleId="NoSpacing">
    <w:name w:val="No Spacing"/>
    <w:uiPriority w:val="1"/>
    <w:qFormat/>
    <w:rsid w:val="00e01a16"/>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9" w:customStyle="1">
    <w:name w:val="Вміст рамки"/>
    <w:basedOn w:val="Normal"/>
    <w:qFormat/>
    <w:pPr/>
    <w:rPr/>
  </w:style>
  <w:style w:type="paragraph" w:styleId="2" w:customStyle="1">
    <w:name w:val="Основной текст2"/>
    <w:basedOn w:val="Normal"/>
    <w:qFormat/>
    <w:pPr>
      <w:shd w:val="clear" w:color="auto" w:fill="FFFFFF"/>
      <w:spacing w:lineRule="exact" w:line="322"/>
      <w:jc w:val="center"/>
    </w:pPr>
    <w:rPr>
      <w:sz w:val="27"/>
      <w:szCs w:val="27"/>
    </w:rPr>
  </w:style>
  <w:style w:type="paragraph" w:styleId="31" w:customStyle="1">
    <w:name w:val="Основной текст (3)"/>
    <w:basedOn w:val="Normal"/>
    <w:qFormat/>
    <w:pPr>
      <w:shd w:val="clear" w:color="auto" w:fill="FFFFFF"/>
      <w:spacing w:lineRule="exact" w:line="379" w:before="0" w:after="1800"/>
    </w:pPr>
    <w:rPr>
      <w:sz w:val="27"/>
      <w:szCs w:val="27"/>
    </w:rPr>
  </w:style>
  <w:style w:type="paragraph" w:styleId="Style30">
    <w:name w:val="Вміст таблиці"/>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78FA-44BD-42A3-BD78-21849257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4355</TotalTime>
  <Application>LibreOffice/7.2.5.2$Windows_X86_64 LibreOffice_project/499f9727c189e6ef3471021d6132d4c694f357e5</Application>
  <AppVersion>15.0000</AppVersion>
  <Pages>32</Pages>
  <Words>9843</Words>
  <Characters>68980</Characters>
  <CharactersWithSpaces>77806</CharactersWithSpaces>
  <Paragraphs>1524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2021-11-18T15:25:00Z</dcterms:created>
  <dc:creator>Пользователь</dc:creator>
  <dc:description/>
  <dc:language>uk-UA</dc:language>
  <cp:lastModifiedBy/>
  <cp:lastPrinted>2024-09-11T11:13:24Z</cp:lastPrinted>
  <dcterms:modified xsi:type="dcterms:W3CDTF">2024-11-04T10:36:55Z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file>