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ABBAC" w14:textId="77777777" w:rsidR="00007971" w:rsidRDefault="00007971" w:rsidP="00007971">
      <w:pPr>
        <w:jc w:val="both"/>
        <w:rPr>
          <w:lang w:val="uk-UA"/>
        </w:rPr>
      </w:pPr>
    </w:p>
    <w:p w14:paraId="153E6332" w14:textId="77777777" w:rsidR="00007971" w:rsidRDefault="00007971" w:rsidP="00007971">
      <w:pPr>
        <w:jc w:val="both"/>
        <w:rPr>
          <w:lang w:val="uk-UA"/>
        </w:rPr>
      </w:pPr>
    </w:p>
    <w:p w14:paraId="15702100" w14:textId="77777777" w:rsidR="00007971" w:rsidRDefault="00007971" w:rsidP="00007971">
      <w:pPr>
        <w:jc w:val="both"/>
        <w:rPr>
          <w:lang w:val="uk-UA"/>
        </w:rPr>
      </w:pPr>
    </w:p>
    <w:p w14:paraId="09AEBA72" w14:textId="77777777" w:rsidR="00007971" w:rsidRPr="00007971" w:rsidRDefault="00007971" w:rsidP="00007971">
      <w:pPr>
        <w:pStyle w:val="11"/>
        <w:rPr>
          <w:spacing w:val="-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object w:dxaOrig="1440" w:dyaOrig="1440" w14:anchorId="073476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45pt;width:44.4pt;height:53.4pt;z-index:251658240;mso-wrap-distance-left:9.05pt;mso-wrap-distance-right:9.05pt" o:allowincell="f" filled="t">
            <v:fill opacity="0" color2="black"/>
            <v:imagedata r:id="rId5" o:title="" croptop="-58f" cropbottom="-58f" cropleft="-68f" cropright="-68f"/>
          </v:shape>
          <o:OLEObject Type="Embed" ProgID="Word.Picture.8" ShapeID="_x0000_s1026" DrawAspect="Content" ObjectID="_1784962928" r:id="rId6"/>
        </w:object>
      </w:r>
    </w:p>
    <w:p w14:paraId="0F3358CC" w14:textId="77777777" w:rsidR="00007971" w:rsidRPr="00007971" w:rsidRDefault="00007971" w:rsidP="00007971">
      <w:pPr>
        <w:pStyle w:val="11"/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7971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14:paraId="3FE2321F" w14:textId="77777777" w:rsidR="00007971" w:rsidRPr="00007971" w:rsidRDefault="00007971" w:rsidP="00007971">
      <w:pPr>
        <w:pStyle w:val="11"/>
        <w:rPr>
          <w:b w:val="0"/>
          <w:bCs/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7971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14:paraId="63A9A8F3" w14:textId="77777777" w:rsidR="00007971" w:rsidRPr="00007971" w:rsidRDefault="00007971" w:rsidP="00007971">
      <w:pPr>
        <w:pStyle w:val="11"/>
        <w:rPr>
          <w:b w:val="0"/>
          <w:bCs/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120" w:tblpY="-24"/>
        <w:tblW w:w="5000" w:type="pct"/>
        <w:tblLayout w:type="fixed"/>
        <w:tblLook w:val="04A0" w:firstRow="1" w:lastRow="0" w:firstColumn="1" w:lastColumn="0" w:noHBand="0" w:noVBand="1"/>
      </w:tblPr>
      <w:tblGrid>
        <w:gridCol w:w="9355"/>
      </w:tblGrid>
      <w:tr w:rsidR="00007971" w14:paraId="27BBB082" w14:textId="77777777" w:rsidTr="00007971">
        <w:trPr>
          <w:trHeight w:val="282"/>
        </w:trPr>
        <w:tc>
          <w:tcPr>
            <w:tcW w:w="9609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14:paraId="7EC35C5F" w14:textId="77777777" w:rsidR="00007971" w:rsidRDefault="00007971">
            <w:pPr>
              <w:pStyle w:val="11"/>
              <w:snapToGrid w:val="0"/>
              <w:jc w:val="left"/>
              <w:rPr>
                <w:b w:val="0"/>
                <w:sz w:val="12"/>
              </w:rPr>
            </w:pPr>
          </w:p>
        </w:tc>
      </w:tr>
    </w:tbl>
    <w:p w14:paraId="666F38C6" w14:textId="77777777" w:rsidR="00007971" w:rsidRDefault="00007971" w:rsidP="00007971">
      <w:pPr>
        <w:pStyle w:val="11"/>
        <w:rPr>
          <w:b w:val="0"/>
          <w:bCs/>
          <w:sz w:val="8"/>
        </w:rPr>
      </w:pPr>
    </w:p>
    <w:p w14:paraId="53E2040E" w14:textId="77777777" w:rsidR="00007971" w:rsidRDefault="00007971" w:rsidP="00007971">
      <w:pPr>
        <w:pStyle w:val="11"/>
        <w:rPr>
          <w:b w:val="0"/>
          <w:bCs/>
          <w:sz w:val="8"/>
        </w:rPr>
      </w:pPr>
    </w:p>
    <w:p w14:paraId="20C27E28" w14:textId="77777777" w:rsidR="00007971" w:rsidRDefault="00007971" w:rsidP="00007971">
      <w:pPr>
        <w:pStyle w:val="1"/>
        <w:numPr>
          <w:ilvl w:val="0"/>
          <w:numId w:val="1"/>
        </w:numPr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14:paraId="606E7BAD" w14:textId="77777777" w:rsidR="00007971" w:rsidRDefault="00007971" w:rsidP="00007971">
      <w:pPr>
        <w:rPr>
          <w:spacing w:val="56"/>
          <w:sz w:val="34"/>
          <w:lang w:val="uk-UA"/>
        </w:rPr>
      </w:pPr>
    </w:p>
    <w:p w14:paraId="098B9011" w14:textId="77777777" w:rsidR="00007971" w:rsidRDefault="00007971" w:rsidP="00007971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lang w:val="uk-UA"/>
        </w:rPr>
        <w:t xml:space="preserve">                                   м. Нікополь                             </w:t>
      </w:r>
      <w:r>
        <w:rPr>
          <w:sz w:val="22"/>
          <w:lang w:val="uk-UA"/>
        </w:rPr>
        <w:t>№ _____________</w:t>
      </w:r>
    </w:p>
    <w:p w14:paraId="4A228516" w14:textId="77777777" w:rsidR="00007971" w:rsidRDefault="00007971" w:rsidP="00007971">
      <w:pPr>
        <w:rPr>
          <w:sz w:val="28"/>
          <w:lang w:val="uk-UA"/>
        </w:rPr>
      </w:pPr>
    </w:p>
    <w:p w14:paraId="29587D94" w14:textId="77777777" w:rsidR="00007971" w:rsidRDefault="00007971" w:rsidP="000079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висновку про </w:t>
      </w:r>
    </w:p>
    <w:p w14:paraId="42D64F69" w14:textId="77777777" w:rsidR="00007971" w:rsidRDefault="00007971" w:rsidP="000079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доцільність визначення місця </w:t>
      </w:r>
    </w:p>
    <w:p w14:paraId="32B15546" w14:textId="77777777" w:rsidR="00007971" w:rsidRDefault="00007971" w:rsidP="000079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проживання малолітньої</w:t>
      </w:r>
    </w:p>
    <w:p w14:paraId="58212802" w14:textId="77777777" w:rsidR="00007971" w:rsidRDefault="00007971" w:rsidP="000079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Самсонової В.В. з батьком Самсоновим В.В. </w:t>
      </w:r>
    </w:p>
    <w:p w14:paraId="0B08BCCE" w14:textId="77777777" w:rsidR="00007971" w:rsidRDefault="00007971" w:rsidP="0000797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p w14:paraId="693FE9C6" w14:textId="4D41E8A4" w:rsidR="00007971" w:rsidRDefault="00007971" w:rsidP="00007971">
      <w:pPr>
        <w:spacing w:before="30" w:after="1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Нікопольської міської ради та на виконання ухвали Нікопольського міськрайонного суду Дніпропетровської області від </w:t>
      </w:r>
      <w:r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(справа № </w:t>
      </w:r>
      <w:r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провадження № </w:t>
      </w:r>
      <w:r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) про зобов'язання органу опіки та піклування Нікопольської міської ради надати висновок про доцільність (недоцільність) визначення місця проживання малолітньої дитини </w:t>
      </w:r>
      <w:r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народження, разом з батьком </w:t>
      </w:r>
      <w:r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народження, виконавчим органом Нікопольської міської ради взято взявши до уваги рекомендації комісії з питань захисту прав дитини від </w:t>
      </w:r>
      <w:r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року, відповідно до пунктом 72 Порядком провадження органами опіки та піклування діяльності, пов’язаної із захистом прав дитини, затвердженим постановою кабінету Міністрів України від 24 вересня 2008 року № 866 «Питання діяльності органів опіки та піклування, пов’язаної із захистом прав дитини», статей 19, 161 Сімейного   кодексу України, </w:t>
      </w:r>
      <w:r>
        <w:rPr>
          <w:bCs/>
          <w:color w:val="000000"/>
          <w:sz w:val="28"/>
          <w:szCs w:val="28"/>
          <w:lang w:val="uk-UA"/>
        </w:rPr>
        <w:t xml:space="preserve">керуючись статтями 71, 75 Закону України «Про адміністративну процедуру», </w:t>
      </w:r>
      <w:r>
        <w:rPr>
          <w:bCs/>
          <w:sz w:val="28"/>
          <w:szCs w:val="28"/>
          <w:lang w:val="uk-UA"/>
        </w:rPr>
        <w:t>частиною 6 статті 59 Закону України «Про місцеве самоврядування в Україні», виконком Нікопольської міської  ради</w:t>
      </w:r>
      <w:r>
        <w:rPr>
          <w:sz w:val="28"/>
          <w:szCs w:val="28"/>
          <w:lang w:val="uk-UA"/>
        </w:rPr>
        <w:t xml:space="preserve"> </w:t>
      </w:r>
    </w:p>
    <w:p w14:paraId="53F840F2" w14:textId="77777777" w:rsidR="00007971" w:rsidRDefault="00007971" w:rsidP="00007971">
      <w:pPr>
        <w:spacing w:before="30" w:after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75E072F4" w14:textId="6899438C" w:rsidR="00007971" w:rsidRDefault="00007971" w:rsidP="000079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висновок про доцільність визначення місця проживання малолітньої дитини </w:t>
      </w:r>
      <w:r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народження з батьком </w:t>
      </w:r>
      <w:r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народження.</w:t>
      </w:r>
    </w:p>
    <w:p w14:paraId="3EA70230" w14:textId="77777777" w:rsidR="00007971" w:rsidRDefault="00007971" w:rsidP="00007971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14:paraId="280BB58B" w14:textId="77777777" w:rsidR="00007971" w:rsidRDefault="00007971" w:rsidP="00007971">
      <w:pPr>
        <w:pStyle w:val="Title"/>
        <w:jc w:val="both"/>
        <w:rPr>
          <w:b w:val="0"/>
          <w:color w:val="C00000"/>
          <w:sz w:val="28"/>
          <w:szCs w:val="28"/>
          <w:lang w:val="uk-UA"/>
        </w:rPr>
      </w:pPr>
      <w:r>
        <w:rPr>
          <w:b w:val="0"/>
          <w:color w:val="C00000"/>
          <w:sz w:val="28"/>
          <w:szCs w:val="28"/>
          <w:lang w:val="uk-UA"/>
        </w:rPr>
        <w:tab/>
      </w:r>
      <w:r>
        <w:rPr>
          <w:b w:val="0"/>
          <w:color w:val="000000"/>
          <w:sz w:val="28"/>
          <w:szCs w:val="28"/>
          <w:lang w:val="uk-UA"/>
        </w:rPr>
        <w:t xml:space="preserve">3. Дане рішення довести заявнику до відома шляхом вручення або надсилання поштою рекомендованим листом з повідомленням про вручення. </w:t>
      </w:r>
    </w:p>
    <w:p w14:paraId="0972C369" w14:textId="42E0715B" w:rsidR="00007971" w:rsidRDefault="00007971" w:rsidP="00007971">
      <w:pPr>
        <w:pStyle w:val="Title"/>
        <w:jc w:val="both"/>
        <w:rPr>
          <w:b w:val="0"/>
          <w:sz w:val="28"/>
          <w:szCs w:val="28"/>
          <w:lang w:val="uk-UA"/>
        </w:rPr>
      </w:pPr>
      <w:r>
        <w:rPr>
          <w:b w:val="0"/>
          <w:color w:val="C00000"/>
          <w:sz w:val="28"/>
          <w:szCs w:val="28"/>
          <w:lang w:val="uk-UA"/>
        </w:rPr>
        <w:tab/>
      </w:r>
      <w:r>
        <w:rPr>
          <w:b w:val="0"/>
          <w:color w:val="000000"/>
          <w:sz w:val="28"/>
          <w:szCs w:val="28"/>
          <w:lang w:val="uk-UA"/>
        </w:rPr>
        <w:t xml:space="preserve">4. </w:t>
      </w:r>
      <w:r>
        <w:rPr>
          <w:b w:val="0"/>
          <w:sz w:val="28"/>
          <w:szCs w:val="28"/>
          <w:lang w:val="uk-UA"/>
        </w:rPr>
        <w:t xml:space="preserve">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b w:val="0"/>
          <w:sz w:val="28"/>
          <w:szCs w:val="28"/>
          <w:lang w:val="uk-UA"/>
        </w:rPr>
        <w:t>Філяровську</w:t>
      </w:r>
      <w:proofErr w:type="spellEnd"/>
      <w:r>
        <w:rPr>
          <w:b w:val="0"/>
          <w:sz w:val="28"/>
          <w:szCs w:val="28"/>
          <w:lang w:val="uk-UA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14:paraId="12BF432D" w14:textId="77777777" w:rsidR="00007971" w:rsidRDefault="00007971" w:rsidP="00007971">
      <w:pPr>
        <w:pStyle w:val="Title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lastRenderedPageBreak/>
        <w:t>2</w:t>
      </w:r>
      <w:bookmarkStart w:id="0" w:name="_GoBack"/>
      <w:bookmarkEnd w:id="0"/>
    </w:p>
    <w:p w14:paraId="4E80D962" w14:textId="77777777" w:rsidR="00007971" w:rsidRDefault="00007971" w:rsidP="00007971">
      <w:pPr>
        <w:pStyle w:val="Title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Дане рішення набуває чинності з дня доведення його до відома осіб, яких це стосується.</w:t>
      </w:r>
    </w:p>
    <w:p w14:paraId="40205BBE" w14:textId="77777777" w:rsidR="00007971" w:rsidRDefault="00007971" w:rsidP="00007971">
      <w:pPr>
        <w:pStyle w:val="Title"/>
        <w:jc w:val="both"/>
        <w:rPr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ab/>
        <w:t>Особа, на право, свободу чи законний інтерес якої негативно впливає це рішення, має право оскаржити до Дніпропетровського окружного адміністративного суду (вул. Академіка Янгеля 4, м. Дніпро, 49089) у строки, встановлені статтею 122 Кодексу адміністративного судочинства України та порядку, передбаченому статтями 160, 161 цього Кодексу.</w:t>
      </w:r>
    </w:p>
    <w:p w14:paraId="346C6B61" w14:textId="77777777" w:rsidR="00007971" w:rsidRDefault="00007971" w:rsidP="00007971">
      <w:pPr>
        <w:jc w:val="both"/>
        <w:rPr>
          <w:sz w:val="28"/>
          <w:szCs w:val="28"/>
          <w:lang w:val="uk-UA"/>
        </w:rPr>
      </w:pPr>
    </w:p>
    <w:p w14:paraId="3E603C88" w14:textId="77777777" w:rsidR="00007971" w:rsidRDefault="00007971" w:rsidP="00007971">
      <w:pPr>
        <w:jc w:val="both"/>
        <w:rPr>
          <w:sz w:val="28"/>
          <w:szCs w:val="28"/>
          <w:lang w:val="uk-UA"/>
        </w:rPr>
      </w:pPr>
    </w:p>
    <w:p w14:paraId="0CFF1483" w14:textId="77777777" w:rsidR="00007971" w:rsidRDefault="00007971" w:rsidP="000079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Олександр САЮК </w:t>
      </w:r>
    </w:p>
    <w:p w14:paraId="30C296AB" w14:textId="77777777" w:rsidR="00007971" w:rsidRDefault="00007971" w:rsidP="00007971">
      <w:pPr>
        <w:jc w:val="both"/>
        <w:rPr>
          <w:sz w:val="28"/>
          <w:szCs w:val="28"/>
          <w:lang w:val="uk-UA"/>
        </w:rPr>
      </w:pPr>
    </w:p>
    <w:p w14:paraId="341AF6FD" w14:textId="77777777" w:rsidR="00007971" w:rsidRDefault="00007971" w:rsidP="00007971">
      <w:pPr>
        <w:spacing w:before="30" w:after="1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6E92661" w14:textId="77777777" w:rsidR="00716476" w:rsidRDefault="00716476"/>
    <w:sectPr w:rsidR="0071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76"/>
    <w:rsid w:val="00007971"/>
    <w:rsid w:val="0071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087A71"/>
  <w15:chartTrackingRefBased/>
  <w15:docId w15:val="{2322B775-03E9-401E-8458-9F44C805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79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007971"/>
    <w:pPr>
      <w:keepNext/>
      <w:numPr>
        <w:numId w:val="2"/>
      </w:numPr>
      <w:jc w:val="center"/>
      <w:outlineLvl w:val="0"/>
    </w:pPr>
    <w:rPr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7971"/>
    <w:rPr>
      <w:rFonts w:ascii="Times New Roman" w:eastAsia="Times New Roman" w:hAnsi="Times New Roman" w:cs="Times New Roman"/>
      <w:b/>
      <w:bCs/>
      <w:sz w:val="36"/>
      <w:szCs w:val="24"/>
      <w:lang w:val="uk-UA" w:eastAsia="zh-CN"/>
    </w:rPr>
  </w:style>
  <w:style w:type="paragraph" w:customStyle="1" w:styleId="11">
    <w:name w:val="Заголовок1"/>
    <w:basedOn w:val="a"/>
    <w:next w:val="a3"/>
    <w:rsid w:val="00007971"/>
    <w:pPr>
      <w:jc w:val="center"/>
    </w:pPr>
    <w:rPr>
      <w:b/>
      <w:sz w:val="24"/>
      <w:lang w:val="uk-UA"/>
    </w:rPr>
  </w:style>
  <w:style w:type="paragraph" w:customStyle="1" w:styleId="Title">
    <w:name w:val="Title"/>
    <w:basedOn w:val="a"/>
    <w:rsid w:val="00007971"/>
    <w:pPr>
      <w:jc w:val="center"/>
    </w:pPr>
    <w:rPr>
      <w:b/>
      <w:sz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0797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0797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2024-08-12T07:14:00Z</dcterms:created>
  <dcterms:modified xsi:type="dcterms:W3CDTF">2024-08-12T07:16:00Z</dcterms:modified>
</cp:coreProperties>
</file>