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9E" w:rsidRPr="00C04EC8" w:rsidRDefault="0086339E" w:rsidP="00CD7FA1">
      <w:pPr>
        <w:spacing w:after="0" w:line="240" w:lineRule="auto"/>
        <w:textAlignment w:val="baseline"/>
        <w:rPr>
          <w:rFonts w:ascii="Times New Roman" w:hAnsi="Times New Roman"/>
          <w:b/>
          <w:bCs/>
          <w:i/>
          <w:color w:val="0070C0"/>
          <w:sz w:val="24"/>
          <w:szCs w:val="24"/>
          <w:bdr w:val="none" w:sz="0" w:space="0" w:color="auto" w:frame="1"/>
          <w:lang w:eastAsia="uk-UA"/>
        </w:rPr>
      </w:pPr>
    </w:p>
    <w:p w:rsidR="0086339E" w:rsidRPr="004B2884" w:rsidRDefault="0086339E" w:rsidP="009571A3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АНАЛІЗ РЕГУЛЯТОРНОГО ВПЛИВУ</w:t>
      </w:r>
    </w:p>
    <w:p w:rsidR="0086339E" w:rsidRPr="004B2884" w:rsidRDefault="0086339E" w:rsidP="009571A3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n89"/>
      <w:bookmarkEnd w:id="0"/>
      <w:r w:rsidRPr="004B28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 проекту рішення Нікопольської міської ради</w:t>
      </w:r>
    </w:p>
    <w:p w:rsidR="0086339E" w:rsidRPr="004F44B7" w:rsidRDefault="0086339E" w:rsidP="009571A3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44B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="00FE4CCC" w:rsidRPr="004F44B7">
        <w:rPr>
          <w:rFonts w:ascii="Times New Roman" w:hAnsi="Times New Roman"/>
          <w:b/>
          <w:sz w:val="24"/>
          <w:szCs w:val="24"/>
        </w:rPr>
        <w:t>Про  визначення</w:t>
      </w:r>
      <w:r w:rsidRPr="004F44B7">
        <w:rPr>
          <w:rFonts w:ascii="Times New Roman" w:hAnsi="Times New Roman"/>
          <w:b/>
          <w:sz w:val="24"/>
          <w:szCs w:val="24"/>
        </w:rPr>
        <w:t xml:space="preserve"> обсягів пайової участі (внеску)</w:t>
      </w:r>
      <w:r w:rsidR="00FE4CCC" w:rsidRPr="004F44B7">
        <w:rPr>
          <w:rFonts w:ascii="Times New Roman" w:hAnsi="Times New Roman"/>
          <w:b/>
          <w:sz w:val="24"/>
          <w:szCs w:val="24"/>
        </w:rPr>
        <w:t xml:space="preserve"> </w:t>
      </w:r>
      <w:r w:rsidRPr="004F44B7">
        <w:rPr>
          <w:rFonts w:ascii="Times New Roman" w:hAnsi="Times New Roman"/>
          <w:b/>
          <w:sz w:val="24"/>
          <w:szCs w:val="24"/>
        </w:rPr>
        <w:t xml:space="preserve">в утриманні об’єктів благоустрою </w:t>
      </w:r>
      <w:r w:rsidR="00F64E81">
        <w:rPr>
          <w:rFonts w:ascii="Times New Roman" w:hAnsi="Times New Roman"/>
          <w:b/>
          <w:sz w:val="24"/>
          <w:szCs w:val="24"/>
        </w:rPr>
        <w:t xml:space="preserve">   </w:t>
      </w:r>
      <w:r w:rsidRPr="004F44B7">
        <w:rPr>
          <w:rFonts w:ascii="Times New Roman" w:hAnsi="Times New Roman"/>
          <w:b/>
          <w:sz w:val="24"/>
          <w:szCs w:val="24"/>
        </w:rPr>
        <w:t>м.</w:t>
      </w:r>
      <w:r w:rsidR="00735A56" w:rsidRPr="004F44B7">
        <w:rPr>
          <w:rFonts w:ascii="Times New Roman" w:hAnsi="Times New Roman"/>
          <w:b/>
          <w:sz w:val="24"/>
          <w:szCs w:val="24"/>
        </w:rPr>
        <w:t xml:space="preserve"> </w:t>
      </w:r>
      <w:r w:rsidRPr="004F44B7">
        <w:rPr>
          <w:rFonts w:ascii="Times New Roman" w:hAnsi="Times New Roman"/>
          <w:b/>
          <w:sz w:val="24"/>
          <w:szCs w:val="24"/>
        </w:rPr>
        <w:t>Нікополя при розміщен</w:t>
      </w:r>
      <w:r w:rsidR="00F64E81">
        <w:rPr>
          <w:rFonts w:ascii="Times New Roman" w:hAnsi="Times New Roman"/>
          <w:b/>
          <w:sz w:val="24"/>
          <w:szCs w:val="24"/>
        </w:rPr>
        <w:t>ні тимчасових споруд соціально-</w:t>
      </w:r>
      <w:r w:rsidRPr="004F44B7">
        <w:rPr>
          <w:rFonts w:ascii="Times New Roman" w:hAnsi="Times New Roman"/>
          <w:b/>
          <w:sz w:val="24"/>
          <w:szCs w:val="24"/>
        </w:rPr>
        <w:t>культурного, торговельного та іншого призначення</w:t>
      </w:r>
      <w:r w:rsidR="00F64E8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86339E" w:rsidRPr="004F44B7" w:rsidRDefault="0086339E" w:rsidP="009571A3">
      <w:pPr>
        <w:widowControl w:val="0"/>
        <w:spacing w:after="0" w:line="20" w:lineRule="atLeast"/>
        <w:ind w:left="20" w:right="20" w:firstLine="680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 w:rsidRPr="004F44B7">
        <w:rPr>
          <w:rFonts w:ascii="Times New Roman" w:hAnsi="Times New Roman"/>
          <w:spacing w:val="1"/>
          <w:sz w:val="24"/>
          <w:szCs w:val="24"/>
          <w:lang w:eastAsia="ru-RU"/>
        </w:rPr>
        <w:t>Аналіз регуляторного впливу (надалі – Аналіз) розроблено на виконання та з дотриманням вимог Закону України «Про засади державної регуляторної політики в сфері господарської діяльності» від 11.09.2003 №1160-</w:t>
      </w:r>
      <w:r w:rsidRPr="004F44B7">
        <w:rPr>
          <w:rFonts w:ascii="Times New Roman" w:hAnsi="Times New Roman"/>
          <w:spacing w:val="1"/>
          <w:sz w:val="24"/>
          <w:szCs w:val="24"/>
          <w:lang w:val="en-US" w:eastAsia="ru-RU"/>
        </w:rPr>
        <w:t>IV</w:t>
      </w:r>
      <w:r w:rsidRPr="004F44B7">
        <w:rPr>
          <w:rFonts w:ascii="Times New Roman" w:hAnsi="Times New Roman"/>
          <w:spacing w:val="1"/>
          <w:sz w:val="24"/>
          <w:szCs w:val="24"/>
          <w:lang w:eastAsia="ru-RU"/>
        </w:rPr>
        <w:t xml:space="preserve"> відповідно до Методики проведення аналізу впливу регуляторного акту, затвердженої постановою Кабінету Міністрів України від 11.03.2004 №308 із змінами внесеними постановами Кабінету Міністрів України від 28.11.2</w:t>
      </w:r>
      <w:r w:rsidR="00FE4CCC" w:rsidRPr="004F44B7">
        <w:rPr>
          <w:rFonts w:ascii="Times New Roman" w:hAnsi="Times New Roman"/>
          <w:spacing w:val="1"/>
          <w:sz w:val="24"/>
          <w:szCs w:val="24"/>
          <w:lang w:eastAsia="ru-RU"/>
        </w:rPr>
        <w:t>012 №1107 та від 16.12.2015  №</w:t>
      </w:r>
      <w:r w:rsidRPr="004F44B7">
        <w:rPr>
          <w:rFonts w:ascii="Times New Roman" w:hAnsi="Times New Roman"/>
          <w:spacing w:val="1"/>
          <w:sz w:val="24"/>
          <w:szCs w:val="24"/>
          <w:lang w:eastAsia="ru-RU"/>
        </w:rPr>
        <w:t>1151.</w:t>
      </w:r>
    </w:p>
    <w:p w:rsidR="0086339E" w:rsidRPr="004F44B7" w:rsidRDefault="0086339E" w:rsidP="00FE4CCC">
      <w:pPr>
        <w:spacing w:after="0" w:line="20" w:lineRule="atLeast"/>
        <w:ind w:firstLine="7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F44B7">
        <w:rPr>
          <w:rFonts w:ascii="Times New Roman" w:hAnsi="Times New Roman"/>
          <w:sz w:val="24"/>
          <w:szCs w:val="24"/>
          <w:lang w:eastAsia="ru-RU"/>
        </w:rPr>
        <w:t>Аналіз визначає правові та організаційні засади реалізації проекту ріш</w:t>
      </w:r>
      <w:r w:rsidR="00735A56" w:rsidRPr="004F44B7">
        <w:rPr>
          <w:rFonts w:ascii="Times New Roman" w:hAnsi="Times New Roman"/>
          <w:sz w:val="24"/>
          <w:szCs w:val="24"/>
          <w:lang w:eastAsia="ru-RU"/>
        </w:rPr>
        <w:t>ення Нікопольської міської ради</w:t>
      </w:r>
      <w:r w:rsidRPr="004F44B7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Pr="004F44B7">
        <w:rPr>
          <w:rFonts w:ascii="Times New Roman" w:hAnsi="Times New Roman"/>
          <w:sz w:val="24"/>
          <w:szCs w:val="24"/>
        </w:rPr>
        <w:t>Про  визначення  обсягів пайової участі (внеску)</w:t>
      </w:r>
      <w:r w:rsidR="00FE4CCC" w:rsidRPr="004F44B7">
        <w:rPr>
          <w:rFonts w:ascii="Times New Roman" w:hAnsi="Times New Roman"/>
          <w:sz w:val="24"/>
          <w:szCs w:val="24"/>
        </w:rPr>
        <w:t xml:space="preserve"> </w:t>
      </w:r>
      <w:r w:rsidRPr="004F44B7">
        <w:rPr>
          <w:rFonts w:ascii="Times New Roman" w:hAnsi="Times New Roman"/>
          <w:sz w:val="24"/>
          <w:szCs w:val="24"/>
        </w:rPr>
        <w:t>в утриманні об’єктів благоустрою м.</w:t>
      </w:r>
      <w:r w:rsidR="00735A56" w:rsidRPr="004F44B7">
        <w:rPr>
          <w:rFonts w:ascii="Times New Roman" w:hAnsi="Times New Roman"/>
          <w:sz w:val="24"/>
          <w:szCs w:val="24"/>
        </w:rPr>
        <w:t xml:space="preserve"> </w:t>
      </w:r>
      <w:r w:rsidRPr="004F44B7">
        <w:rPr>
          <w:rFonts w:ascii="Times New Roman" w:hAnsi="Times New Roman"/>
          <w:sz w:val="24"/>
          <w:szCs w:val="24"/>
        </w:rPr>
        <w:t>Нікополя</w:t>
      </w:r>
      <w:r w:rsidR="00FE4CCC" w:rsidRPr="004F44B7">
        <w:rPr>
          <w:rFonts w:ascii="Times New Roman" w:hAnsi="Times New Roman"/>
          <w:sz w:val="24"/>
          <w:szCs w:val="24"/>
        </w:rPr>
        <w:t xml:space="preserve"> </w:t>
      </w:r>
      <w:r w:rsidRPr="004F44B7">
        <w:rPr>
          <w:rFonts w:ascii="Times New Roman" w:hAnsi="Times New Roman"/>
          <w:sz w:val="24"/>
          <w:szCs w:val="24"/>
        </w:rPr>
        <w:t>при розміщенні тимчасових споруд соціально – культурного, торг</w:t>
      </w:r>
      <w:r w:rsidR="00FE4CCC" w:rsidRPr="004F44B7">
        <w:rPr>
          <w:rFonts w:ascii="Times New Roman" w:hAnsi="Times New Roman"/>
          <w:sz w:val="24"/>
          <w:szCs w:val="24"/>
        </w:rPr>
        <w:t>овельного та іншого призначення</w:t>
      </w:r>
      <w:r w:rsidRPr="004F44B7">
        <w:rPr>
          <w:rFonts w:ascii="Times New Roman" w:hAnsi="Times New Roman"/>
          <w:b/>
          <w:sz w:val="24"/>
          <w:szCs w:val="24"/>
          <w:lang w:eastAsia="ru-RU"/>
        </w:rPr>
        <w:t>».</w:t>
      </w:r>
    </w:p>
    <w:p w:rsidR="0086339E" w:rsidRPr="004F44B7" w:rsidRDefault="0086339E" w:rsidP="00CD7FA1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I. Визначення проблеми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1" w:name="n90"/>
      <w:bookmarkStart w:id="2" w:name="n94"/>
      <w:bookmarkEnd w:id="1"/>
      <w:bookmarkEnd w:id="2"/>
      <w:r w:rsidRPr="004B2884">
        <w:rPr>
          <w:color w:val="000000"/>
        </w:rPr>
        <w:t>Відповідно до статті 10 Закону України «Про благоустрій населених пунктів» визначено, що до повноважень виконавчого комітету міської ради належить визначення обсягів пайової участі власників тимчасових споруд торговельного, побутового, соціально-культурного чи іншого призначення в утриманні об'єктів благоустрою.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>На сьогоднішній день відсутній нормативно-правовий акт</w:t>
      </w:r>
      <w:r w:rsidR="00F64E81" w:rsidRPr="004B2884">
        <w:rPr>
          <w:color w:val="000000"/>
        </w:rPr>
        <w:t>,</w:t>
      </w:r>
      <w:r w:rsidRPr="004B2884">
        <w:rPr>
          <w:color w:val="000000"/>
        </w:rPr>
        <w:t xml:space="preserve"> який би врегульовував порядок та механізм сплати пайової участі, порядок укладання договору про сплату пайової участі та перелік суб’єктів сплати пайової участі, методику розрахунки відповідної сплати.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>Відповідно до статті 15 Закону України «Про благоустрій населених пунктів» передбачено, що власник тимчасової споруди торговельного, побутового, соціально-культурного чи іншого призначення, розташованої на території об'єкта благоустрою державної та комунальної власності, зобов'язаний забезпечити належне утримання прилеглої до тимчасової споруди території або може брати пайову участь в утриманні цього об'єкта благоустрою на умовах договору, укладеного із підприємством або балансоутримувачем.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>Закон чітко визначив відповідні зобов’язання суб’єктів господарювання здійснювати заходи із утримання об’єктів благоустрою або можливість брати пайову участь в утриманні об’єктів благоустрою.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>Стаття 36 Закону України «Про благоустрій населених пунктів» передбачає, що фінансування заходів з благоустрою населених пунктів, утримання та ремонт об'єктів благоустрою здійснюється за рахунок коштів їх власників або користувачів, якщо це передбачено умовами відповідних договорів, а також за рахунок пайових внесків власників будівель і споруд, розміщених на території об'єкта благоустрою, інших передбачених законом джерел фінансування.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 xml:space="preserve">Статтею 28 Закону України «Про місцеве самоврядування в Україні» встановлені повноваження виконавчих органів місцевих рад щодо залучення на договірних засадах коштів підприємств, установ та організацій незалежно від форм власності, розташованих на відповідній території, та коштів населення, а також бюджетних коштів на будівництво, розширення, ремонт і утримання на пайових засадах об'єктів соціальної і виробничої інфраструктури та на заходи щодо охорони навколишнього </w:t>
      </w:r>
      <w:r w:rsidRPr="004B2884">
        <w:rPr>
          <w:color w:val="000000"/>
          <w:shd w:val="clear" w:color="auto" w:fill="FFFFFF"/>
        </w:rPr>
        <w:t>природного середовища.</w:t>
      </w:r>
    </w:p>
    <w:p w:rsidR="00FE4CCC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B2884">
        <w:rPr>
          <w:color w:val="000000"/>
          <w:shd w:val="clear" w:color="auto" w:fill="FFFFFF"/>
        </w:rPr>
        <w:t xml:space="preserve">В місті Нікополі розташовано  262 тимчасові споруди різного функціонального призначення, що розміщені суб’єктами мікропідприємництва. </w:t>
      </w:r>
    </w:p>
    <w:p w:rsidR="0086339E" w:rsidRPr="004B2884" w:rsidRDefault="0086339E" w:rsidP="00FE4CC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4B2884">
        <w:rPr>
          <w:color w:val="000000"/>
          <w:shd w:val="clear" w:color="auto" w:fill="FFFFFF"/>
        </w:rPr>
        <w:t xml:space="preserve">Не всі суб’єкти господарювання приділяють увагу благоустрою навколишньої території, де розміщенні їх тимчасові споруди, порушуючи тим самим санітарний стан міста.        </w:t>
      </w:r>
    </w:p>
    <w:p w:rsidR="0086339E" w:rsidRPr="004B2884" w:rsidRDefault="0086339E" w:rsidP="00FE4C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Оскільки законодавчими актами не встановлений чіткий порядок визначення  обсягів пайової участі власників тимчасових споруд торговельного, побутового, соціально-культурного чи іншого призначення в утриманні об'єктів благоустрою виникла необхідність розробки та прийняття  визначення обсягів пайової участі власників тимчасових споруд </w:t>
      </w:r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торговельного, побутового, соціально-культурного та іншого призначення для провадження підприємницької діяльності в утриманні об’єктів благоустрою на території міста Нікополя</w:t>
      </w:r>
      <w:r w:rsidRPr="004B2884">
        <w:rPr>
          <w:rFonts w:ascii="Times New Roman" w:hAnsi="Times New Roman"/>
          <w:color w:val="000000"/>
          <w:sz w:val="24"/>
          <w:szCs w:val="24"/>
        </w:rPr>
        <w:t>.</w:t>
      </w:r>
    </w:p>
    <w:p w:rsidR="0086339E" w:rsidRPr="004B2884" w:rsidRDefault="0086339E" w:rsidP="00FE4CC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</w:rPr>
        <w:t>Таким чином, після прийняття даного проекту ріш</w:t>
      </w:r>
      <w:r w:rsidR="00F64E81" w:rsidRPr="004B2884">
        <w:rPr>
          <w:rFonts w:ascii="Times New Roman" w:hAnsi="Times New Roman"/>
          <w:color w:val="000000"/>
          <w:sz w:val="24"/>
          <w:szCs w:val="24"/>
        </w:rPr>
        <w:t>ення Нікопольської міської ради</w:t>
      </w:r>
      <w:r w:rsidRPr="004B2884">
        <w:rPr>
          <w:rFonts w:ascii="Times New Roman" w:hAnsi="Times New Roman"/>
          <w:color w:val="000000"/>
          <w:sz w:val="24"/>
          <w:szCs w:val="24"/>
        </w:rPr>
        <w:t>,  в  разі неможливості утримувати об’єкт благоустрою самостійно, суб’єкт господарювання має право  укласти з Балансоутримувачем об’єкту благоустрою договір пайової участі (внеску) в утриманні об’єктів благоустрою м.</w:t>
      </w:r>
      <w:r w:rsidR="00735A56" w:rsidRPr="004B28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2884">
        <w:rPr>
          <w:rFonts w:ascii="Times New Roman" w:hAnsi="Times New Roman"/>
          <w:color w:val="000000"/>
          <w:sz w:val="24"/>
          <w:szCs w:val="24"/>
        </w:rPr>
        <w:t>Нікополя при розміщенні тимчасових споруд соціально – культурного, торговельного та іншого призначення</w:t>
      </w: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6339E" w:rsidRPr="004F44B7" w:rsidRDefault="0086339E" w:rsidP="009571A3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</w:p>
    <w:p w:rsidR="0086339E" w:rsidRPr="004B2884" w:rsidRDefault="0086339E" w:rsidP="00FB2E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Основні групи (підгрупи), на які проблема справляє вплив:</w:t>
      </w:r>
    </w:p>
    <w:tbl>
      <w:tblPr>
        <w:tblW w:w="966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2"/>
        <w:gridCol w:w="2827"/>
        <w:gridCol w:w="2443"/>
      </w:tblGrid>
      <w:tr w:rsidR="00FE4CCC" w:rsidRPr="004F44B7" w:rsidTr="00ED3085">
        <w:trPr>
          <w:trHeight w:hRule="exact" w:val="37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Групи (підгрупи)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Так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Ні</w:t>
            </w:r>
          </w:p>
        </w:tc>
      </w:tr>
      <w:tr w:rsidR="00FE4CCC" w:rsidRPr="004F44B7" w:rsidTr="00ED3085">
        <w:trPr>
          <w:trHeight w:hRule="exact" w:val="471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Громадяни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6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6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E4CCC" w:rsidRPr="004F44B7" w:rsidTr="00ED3085">
        <w:trPr>
          <w:trHeight w:hRule="exact" w:val="379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 місцевого самоврядування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E4CCC" w:rsidRPr="004F44B7" w:rsidTr="00ED3085">
        <w:trPr>
          <w:trHeight w:hRule="exact" w:val="54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Суб’єкти господарювання,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E4CCC" w:rsidRPr="004F44B7" w:rsidTr="00ED3085">
        <w:trPr>
          <w:trHeight w:hRule="exact" w:val="568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77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т.ч. суб’єкти малого підприємництва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FB2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6339E" w:rsidRPr="004B2884" w:rsidRDefault="0086339E" w:rsidP="0005677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86339E" w:rsidRPr="004B2884" w:rsidRDefault="0086339E" w:rsidP="00056773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II. Цілі державного регулювання</w:t>
      </w:r>
    </w:p>
    <w:p w:rsidR="0086339E" w:rsidRPr="004B2884" w:rsidRDefault="0086339E" w:rsidP="000567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n100"/>
      <w:bookmarkStart w:id="4" w:name="n101"/>
      <w:bookmarkEnd w:id="3"/>
      <w:bookmarkEnd w:id="4"/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Цілями прийняття даного регуляторного акта є визначення обсягів пайової участі власників тимчасових споруд торговельного, побутового, соціально-культурного та іншого призначення в утриманні об’єктів благоустрою на території міста Нікополя,</w:t>
      </w:r>
      <w:r w:rsidR="00F64E81"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затвердження відповідного  розрахунку обсягу пайової участі, залучення додаткових коштів на утримання об’єктів благоустрою, створення сприятливих умов для життєдіяльності громадян, покращення санітарного стану та мікроклімату міста шляхом врегулювання правовідносин між суб’єктами</w:t>
      </w:r>
      <w:r w:rsidR="00F64E81"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яких розповсюджується дія регуляторного акт</w:t>
      </w:r>
      <w:r w:rsidR="00BB00FB"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органом місцевого самоврядування.</w:t>
      </w:r>
    </w:p>
    <w:p w:rsidR="0086339E" w:rsidRPr="004F44B7" w:rsidRDefault="0086339E" w:rsidP="00FE4CCC">
      <w:pPr>
        <w:spacing w:after="0" w:line="240" w:lineRule="auto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bdr w:val="none" w:sz="0" w:space="0" w:color="auto" w:frame="1"/>
          <w:lang w:eastAsia="uk-UA"/>
        </w:rPr>
      </w:pPr>
      <w:r w:rsidRPr="004F44B7">
        <w:rPr>
          <w:rFonts w:ascii="Times New Roman" w:hAnsi="Times New Roman"/>
          <w:b/>
          <w:bCs/>
          <w:color w:val="0070C0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III. Визначення та оцінка </w:t>
      </w: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альтернативних способів досягнення цілей</w:t>
      </w:r>
    </w:p>
    <w:p w:rsidR="0086339E" w:rsidRPr="00433618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b/>
          <w:i/>
          <w:color w:val="000000"/>
          <w:sz w:val="10"/>
          <w:szCs w:val="10"/>
          <w:bdr w:val="none" w:sz="0" w:space="0" w:color="auto" w:frame="1"/>
          <w:lang w:eastAsia="uk-UA"/>
        </w:rPr>
      </w:pPr>
      <w:bookmarkStart w:id="5" w:name="n102"/>
      <w:bookmarkEnd w:id="5"/>
    </w:p>
    <w:p w:rsidR="0086339E" w:rsidRPr="004B2884" w:rsidRDefault="0086339E" w:rsidP="00934E90">
      <w:pPr>
        <w:spacing w:after="0" w:line="240" w:lineRule="auto"/>
        <w:ind w:firstLine="450"/>
        <w:jc w:val="center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uk-UA"/>
        </w:rPr>
        <w:t>1. Визначення альтернативних способів</w:t>
      </w:r>
    </w:p>
    <w:tbl>
      <w:tblPr>
        <w:tblW w:w="980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412"/>
        <w:gridCol w:w="6388"/>
      </w:tblGrid>
      <w:tr w:rsidR="00FE4CCC" w:rsidRPr="004F44B7" w:rsidTr="00695EDF">
        <w:trPr>
          <w:trHeight w:hRule="exact" w:val="42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E34D8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bookmarkStart w:id="6" w:name="n103"/>
            <w:bookmarkEnd w:id="6"/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Вид альтернативи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9E" w:rsidRPr="004B2884" w:rsidRDefault="0086339E" w:rsidP="00E34D8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Опис альтернативи</w:t>
            </w:r>
          </w:p>
        </w:tc>
      </w:tr>
      <w:tr w:rsidR="00FE4CCC" w:rsidRPr="004F44B7" w:rsidTr="00FE4CCC">
        <w:trPr>
          <w:trHeight w:hRule="exact" w:val="224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E34D82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1.</w:t>
            </w:r>
          </w:p>
          <w:p w:rsidR="0086339E" w:rsidRPr="004B2884" w:rsidRDefault="0086339E" w:rsidP="00695EDF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від прийняття цього регуляторного акта (залишити без змін діючий порядок)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74" w:lineRule="exact"/>
              <w:ind w:left="132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Дія такого с</w:t>
            </w:r>
            <w:r w:rsidR="00735A56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пособу є неефективною, оскільки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суб’єкти господарювання намагаються уникнути витрат на утримання об’єктів благоустрою міста</w:t>
            </w:r>
          </w:p>
          <w:p w:rsidR="0086339E" w:rsidRPr="004B2884" w:rsidRDefault="0086339E" w:rsidP="00BB00FB">
            <w:pPr>
              <w:widowControl w:val="0"/>
              <w:spacing w:after="0" w:line="274" w:lineRule="exact"/>
              <w:ind w:left="132" w:right="14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Вирішувати питання щодо залучення юридичних та фізичних осіб – підприємців до добровільного вчинення дій, направлених на участь в утриманні об’єктів благоустрою м Нікополя без наявного рішення з визначення обсягів па</w:t>
            </w:r>
            <w:r w:rsidR="00FE4CCC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йової участі – неможливо</w:t>
            </w:r>
          </w:p>
        </w:tc>
      </w:tr>
      <w:tr w:rsidR="00FE4CCC" w:rsidRPr="004F44B7" w:rsidTr="00BB00FB">
        <w:trPr>
          <w:trHeight w:hRule="exact" w:val="169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75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Альтернатива 2.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75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благоустрою за рахунок бюджету міста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74" w:lineRule="exact"/>
              <w:ind w:left="132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Зазначений спосіб не може бути прийнятим, оскільки він не забезпечує відповідальне ставлення суб’єктів господарювання до питань належного утримання благоустрою міста. Бюджет міста не може в повному обсязі забезпечити постійне утримання та забезпечення періодичного в</w:t>
            </w:r>
            <w:r w:rsidR="00FE4CCC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ідновлення об’єктів благоустрою</w:t>
            </w:r>
          </w:p>
          <w:p w:rsidR="0086339E" w:rsidRPr="004B2884" w:rsidRDefault="0086339E" w:rsidP="00BB00FB">
            <w:pPr>
              <w:widowControl w:val="0"/>
              <w:spacing w:after="0" w:line="274" w:lineRule="exact"/>
              <w:ind w:left="132" w:right="14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FE4CCC" w:rsidRPr="004F44B7" w:rsidTr="004F44B7">
        <w:trPr>
          <w:trHeight w:hRule="exact" w:val="170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E34D82">
            <w:pPr>
              <w:widowControl w:val="0"/>
              <w:spacing w:after="0" w:line="240" w:lineRule="exact"/>
              <w:ind w:left="80" w:right="75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Альтернатива 3.</w:t>
            </w:r>
          </w:p>
          <w:p w:rsidR="0086339E" w:rsidRPr="004B2884" w:rsidRDefault="0086339E" w:rsidP="009571A3">
            <w:pPr>
              <w:widowControl w:val="0"/>
              <w:spacing w:after="0" w:line="240" w:lineRule="exact"/>
              <w:ind w:left="80" w:right="75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Досягнення визначених цілей за допомогою ринкових механізмів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або нормативним актом іншого органу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132" w:right="14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є можливим. Оскільки регулювання питання щодо визначення обсягів пайової участі власників тимчасових споруд торговельного, побутового, соціально-культурного та іншого призначення в утриманні об’єктів благоустрою на території міста Нікополя  належить до повноважень </w:t>
            </w:r>
            <w:r w:rsidR="00FE4CCC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виконавчих органів міської ради</w:t>
            </w:r>
          </w:p>
        </w:tc>
      </w:tr>
      <w:tr w:rsidR="00FE4CCC" w:rsidRPr="004F44B7" w:rsidTr="004F44B7">
        <w:trPr>
          <w:trHeight w:hRule="exact" w:val="143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695EDF">
            <w:pPr>
              <w:widowControl w:val="0"/>
              <w:spacing w:after="0" w:line="240" w:lineRule="exact"/>
              <w:ind w:left="80" w:right="7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Альтернатива 4 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339E" w:rsidRPr="004B2884" w:rsidRDefault="0086339E" w:rsidP="00695EDF">
            <w:pPr>
              <w:widowControl w:val="0"/>
              <w:spacing w:after="0" w:line="240" w:lineRule="exact"/>
              <w:ind w:left="80" w:right="75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Прийняти запропонований регуляторний акт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132" w:right="14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Рішення виконавчого комітету міської ради відповідає чинному законодавству України та створює сприятливі умови для життєдіяльності  громадян  і суб’єктів господарювання, сприятиме покращенню санітарн</w:t>
            </w:r>
            <w:r w:rsidR="00934E90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стану та мікроклімату міста</w:t>
            </w:r>
          </w:p>
        </w:tc>
      </w:tr>
    </w:tbl>
    <w:p w:rsidR="004F44B7" w:rsidRPr="004B2884" w:rsidRDefault="004F44B7" w:rsidP="004F44B7">
      <w:pPr>
        <w:spacing w:after="0" w:line="240" w:lineRule="auto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uk-UA"/>
        </w:rPr>
      </w:pPr>
      <w:bookmarkStart w:id="7" w:name="n116"/>
      <w:bookmarkEnd w:id="7"/>
    </w:p>
    <w:p w:rsidR="0086339E" w:rsidRPr="004B2884" w:rsidRDefault="0086339E" w:rsidP="00934E90">
      <w:pPr>
        <w:spacing w:after="0" w:line="240" w:lineRule="auto"/>
        <w:jc w:val="center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  <w:lang w:eastAsia="uk-UA"/>
        </w:rPr>
        <w:t>2. Оцінка вибраних альтернативних способів досягнення цілей</w:t>
      </w:r>
    </w:p>
    <w:p w:rsidR="0086339E" w:rsidRPr="00433618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000000"/>
          <w:sz w:val="10"/>
          <w:szCs w:val="10"/>
          <w:bdr w:val="none" w:sz="0" w:space="0" w:color="auto" w:frame="1"/>
          <w:lang w:eastAsia="uk-UA"/>
        </w:rPr>
      </w:pPr>
      <w:bookmarkStart w:id="8" w:name="n117"/>
      <w:bookmarkStart w:id="9" w:name="n121"/>
      <w:bookmarkEnd w:id="8"/>
      <w:bookmarkEnd w:id="9"/>
    </w:p>
    <w:p w:rsidR="0086339E" w:rsidRPr="004B2884" w:rsidRDefault="0086339E" w:rsidP="0091791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Оцінка впливу на сферу інтересів органів місцевого самоврядування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20"/>
        <w:gridCol w:w="2977"/>
        <w:gridCol w:w="4252"/>
      </w:tblGrid>
      <w:tr w:rsidR="00934E90" w:rsidRPr="004F44B7" w:rsidTr="00433618">
        <w:trPr>
          <w:trHeight w:hRule="exact" w:val="282"/>
        </w:trPr>
        <w:tc>
          <w:tcPr>
            <w:tcW w:w="2420" w:type="dxa"/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Вид альтернативи</w:t>
            </w:r>
          </w:p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Вигоди</w:t>
            </w:r>
          </w:p>
        </w:tc>
        <w:tc>
          <w:tcPr>
            <w:tcW w:w="4252" w:type="dxa"/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Витрати</w:t>
            </w:r>
          </w:p>
        </w:tc>
      </w:tr>
      <w:tr w:rsidR="00934E90" w:rsidRPr="004F44B7" w:rsidTr="00BB00FB">
        <w:trPr>
          <w:trHeight w:hRule="exact" w:val="2438"/>
        </w:trPr>
        <w:tc>
          <w:tcPr>
            <w:tcW w:w="2420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1.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</w:t>
            </w:r>
            <w:r w:rsidR="00934E90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 прийняття цього регуляторного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акта (залишити без змін діючий порядок)</w:t>
            </w:r>
          </w:p>
        </w:tc>
        <w:tc>
          <w:tcPr>
            <w:tcW w:w="2977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4252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1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В разі уникнення суб’єкта господарювання від утримання  об’єктів благоустрою при розміщенні ним тимчасової споруди-утримання відбувається за рахунок бюджету міста.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Така альтернатива  не забезпечує відповідальне ставлення суб’єктів господарювання до питань належного утримання благоустрою міста Нікополя</w:t>
            </w:r>
          </w:p>
        </w:tc>
      </w:tr>
      <w:tr w:rsidR="00934E90" w:rsidRPr="004F44B7" w:rsidTr="00433618">
        <w:trPr>
          <w:trHeight w:hRule="exact" w:val="1402"/>
        </w:trPr>
        <w:tc>
          <w:tcPr>
            <w:tcW w:w="2420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2.</w:t>
            </w:r>
          </w:p>
          <w:p w:rsidR="0086339E" w:rsidRPr="004B2884" w:rsidRDefault="00934E90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</w:t>
            </w:r>
            <w:r w:rsidR="0086339E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устрою за рахунок бюджету міста</w:t>
            </w:r>
          </w:p>
        </w:tc>
        <w:tc>
          <w:tcPr>
            <w:tcW w:w="2977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4252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80" w:right="13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Бюджет міста не може в повному обсязі забезпечити постійне утримання та забезпечення періодичного відновлення об’єктів благоустрою</w:t>
            </w:r>
          </w:p>
        </w:tc>
      </w:tr>
      <w:tr w:rsidR="00934E90" w:rsidRPr="004F44B7" w:rsidTr="00934E90">
        <w:trPr>
          <w:trHeight w:hRule="exact" w:val="1248"/>
        </w:trPr>
        <w:tc>
          <w:tcPr>
            <w:tcW w:w="2420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3.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Досягнення визначених цілей за допомогою ринкових механізмів 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або нормативним актом іншого органу</w:t>
            </w:r>
          </w:p>
        </w:tc>
        <w:tc>
          <w:tcPr>
            <w:tcW w:w="2977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4252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</w:tr>
      <w:tr w:rsidR="00934E90" w:rsidRPr="004F44B7" w:rsidTr="004F44B7">
        <w:trPr>
          <w:trHeight w:hRule="exact" w:val="1659"/>
        </w:trPr>
        <w:tc>
          <w:tcPr>
            <w:tcW w:w="2420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4.</w:t>
            </w:r>
          </w:p>
          <w:p w:rsidR="0086339E" w:rsidRPr="004B2884" w:rsidRDefault="00735A56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Прийняти </w:t>
            </w:r>
            <w:r w:rsidR="0086339E"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запропонований регуляторний акт</w:t>
            </w:r>
          </w:p>
        </w:tc>
        <w:tc>
          <w:tcPr>
            <w:tcW w:w="2977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80" w:right="1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Буде визначено обсяги  пайової участі при  укладанні договору про сплату пайової участі в утриманні об’</w:t>
            </w:r>
            <w:r w:rsidR="00735A56"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єктів благоустрою</w:t>
            </w:r>
          </w:p>
        </w:tc>
        <w:tc>
          <w:tcPr>
            <w:tcW w:w="4252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</w:tr>
    </w:tbl>
    <w:p w:rsidR="0086339E" w:rsidRPr="004B2884" w:rsidRDefault="0086339E" w:rsidP="0091791B">
      <w:pPr>
        <w:widowControl w:val="0"/>
        <w:spacing w:after="0" w:line="240" w:lineRule="exact"/>
        <w:jc w:val="center"/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en-US" w:eastAsia="ru-RU"/>
        </w:rPr>
      </w:pPr>
    </w:p>
    <w:p w:rsidR="0086339E" w:rsidRPr="004B2884" w:rsidRDefault="0086339E" w:rsidP="0091791B">
      <w:pPr>
        <w:widowControl w:val="0"/>
        <w:spacing w:after="0" w:line="240" w:lineRule="exact"/>
        <w:jc w:val="center"/>
        <w:rPr>
          <w:rFonts w:ascii="Times New Roman" w:hAnsi="Times New Roman"/>
          <w:b/>
          <w:i/>
          <w:color w:val="000000"/>
          <w:spacing w:val="1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i/>
          <w:color w:val="000000"/>
          <w:spacing w:val="1"/>
          <w:sz w:val="24"/>
          <w:szCs w:val="24"/>
          <w:lang w:eastAsia="ru-RU"/>
        </w:rPr>
        <w:t>Оцінка впливу на сферу інтересів громадян</w:t>
      </w:r>
    </w:p>
    <w:p w:rsidR="0086339E" w:rsidRPr="004B2884" w:rsidRDefault="0086339E" w:rsidP="0091791B">
      <w:pPr>
        <w:widowControl w:val="0"/>
        <w:spacing w:after="0" w:line="240" w:lineRule="exact"/>
        <w:jc w:val="center"/>
        <w:rPr>
          <w:rFonts w:ascii="Times New Roman" w:hAnsi="Times New Roman"/>
          <w:i/>
          <w:color w:val="000000"/>
          <w:spacing w:val="1"/>
          <w:sz w:val="24"/>
          <w:szCs w:val="24"/>
          <w:lang w:eastAsia="ru-RU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87"/>
        <w:gridCol w:w="2693"/>
        <w:gridCol w:w="4111"/>
      </w:tblGrid>
      <w:tr w:rsidR="00735A56" w:rsidRPr="004F44B7" w:rsidTr="00735A56">
        <w:trPr>
          <w:trHeight w:hRule="exact" w:val="590"/>
        </w:trPr>
        <w:tc>
          <w:tcPr>
            <w:tcW w:w="2987" w:type="dxa"/>
            <w:shd w:val="clear" w:color="auto" w:fill="FFFFFF"/>
            <w:vAlign w:val="center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Вид альтернативи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Вигоди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Витрати</w:t>
            </w:r>
          </w:p>
        </w:tc>
      </w:tr>
      <w:tr w:rsidR="00735A56" w:rsidRPr="004F44B7" w:rsidTr="00BB00FB">
        <w:trPr>
          <w:trHeight w:hRule="exact" w:val="2300"/>
        </w:trPr>
        <w:tc>
          <w:tcPr>
            <w:tcW w:w="2987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lastRenderedPageBreak/>
              <w:t>Альтернатива 1.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від прийняття цього регуляторного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акта (залишити без змін діючий порядок)</w:t>
            </w:r>
          </w:p>
        </w:tc>
        <w:tc>
          <w:tcPr>
            <w:tcW w:w="2693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4111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разі уникнення суб’єкту господарювання від належного утримання об’єкту благоустрою - забезпечувати чистоту,відновлення зелених насаджень, тощо -  необхідно ці роботи виконувати за кошти бюджету, які б могли направитись на  розвиток соціальної сфери міста</w:t>
            </w:r>
          </w:p>
        </w:tc>
      </w:tr>
      <w:tr w:rsidR="00735A56" w:rsidRPr="004F44B7" w:rsidTr="00BB00FB">
        <w:trPr>
          <w:trHeight w:hRule="exact" w:val="1270"/>
        </w:trPr>
        <w:tc>
          <w:tcPr>
            <w:tcW w:w="2987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2.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благоустрою за рахунок бюджету міста</w:t>
            </w:r>
          </w:p>
        </w:tc>
        <w:tc>
          <w:tcPr>
            <w:tcW w:w="2693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4111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Відволікання бюджетних коштів на утримання місць розміщення тимчасових споруд, де діяльність ведуть суб’єкти господарювання</w:t>
            </w:r>
          </w:p>
        </w:tc>
      </w:tr>
      <w:tr w:rsidR="00735A56" w:rsidRPr="004F44B7" w:rsidTr="00735A56">
        <w:trPr>
          <w:trHeight w:hRule="exact" w:val="992"/>
        </w:trPr>
        <w:tc>
          <w:tcPr>
            <w:tcW w:w="2987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3.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 w:right="132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осягнення визначених цілей за допомогою ринкових механізмів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або нормативним актом іншого органу</w:t>
            </w:r>
          </w:p>
        </w:tc>
        <w:tc>
          <w:tcPr>
            <w:tcW w:w="2693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4111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</w:tr>
      <w:tr w:rsidR="00735A56" w:rsidRPr="004F44B7" w:rsidTr="00BB00FB">
        <w:trPr>
          <w:trHeight w:hRule="exact" w:val="4265"/>
        </w:trPr>
        <w:tc>
          <w:tcPr>
            <w:tcW w:w="2987" w:type="dxa"/>
            <w:shd w:val="clear" w:color="auto" w:fill="FFFFFF"/>
          </w:tcPr>
          <w:p w:rsidR="0086339E" w:rsidRPr="004B2884" w:rsidRDefault="0086339E" w:rsidP="00BB00FB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4.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Прийняти запропонований регуляторний акт</w:t>
            </w: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</w:p>
          <w:p w:rsidR="0086339E" w:rsidRPr="004B2884" w:rsidRDefault="0086339E" w:rsidP="00BB00FB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86339E" w:rsidRPr="004B2884" w:rsidRDefault="0086339E" w:rsidP="00BB00FB">
            <w:pPr>
              <w:pStyle w:val="a5"/>
              <w:shd w:val="clear" w:color="auto" w:fill="FFFFFF"/>
              <w:spacing w:before="0" w:beforeAutospacing="0" w:after="173" w:afterAutospacing="0"/>
              <w:jc w:val="center"/>
              <w:rPr>
                <w:color w:val="000000"/>
                <w:lang w:eastAsia="ru-RU"/>
              </w:rPr>
            </w:pPr>
            <w:r w:rsidRPr="004B2884">
              <w:rPr>
                <w:color w:val="000000"/>
                <w:shd w:val="clear" w:color="auto" w:fill="FFFFFF"/>
              </w:rPr>
              <w:t>Наявність нормативного акту з визначеними обсягами пайової участі дозволить  утримувати  та відновлювати  об'єкти благоустрою  за рахунок коштів їх власників або користувачів, а також за рахунок пайових внесків власників будівель і споруд, розміщених на території об'єкта благоустрою. Додаткові кошти від пайової участі власників ТС сприятимуть покращенню санітарного стану міста, додатковому озеленню та  відновленню  об’єктів благоустрою</w:t>
            </w:r>
            <w:r w:rsidRPr="004B2884">
              <w:rPr>
                <w:color w:val="000000"/>
                <w:lang w:eastAsia="ru-RU"/>
              </w:rPr>
              <w:t xml:space="preserve"> міста.</w:t>
            </w:r>
          </w:p>
        </w:tc>
        <w:tc>
          <w:tcPr>
            <w:tcW w:w="4111" w:type="dxa"/>
            <w:shd w:val="clear" w:color="auto" w:fill="FFFFFF"/>
          </w:tcPr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  <w:p w:rsidR="0086339E" w:rsidRPr="004B2884" w:rsidRDefault="0086339E" w:rsidP="00BB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39E" w:rsidRPr="004B2884" w:rsidRDefault="0086339E" w:rsidP="0091791B">
      <w:pPr>
        <w:widowControl w:val="0"/>
        <w:spacing w:after="0" w:line="240" w:lineRule="exact"/>
        <w:ind w:left="280" w:firstLine="440"/>
        <w:jc w:val="center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</w:p>
    <w:p w:rsidR="0086339E" w:rsidRPr="004B2884" w:rsidRDefault="0086339E" w:rsidP="0091791B">
      <w:pPr>
        <w:widowControl w:val="0"/>
        <w:spacing w:after="0" w:line="240" w:lineRule="exact"/>
        <w:ind w:left="280" w:firstLine="440"/>
        <w:jc w:val="center"/>
        <w:rPr>
          <w:rFonts w:ascii="Times New Roman" w:hAnsi="Times New Roman"/>
          <w:i/>
          <w:color w:val="000000"/>
          <w:spacing w:val="1"/>
          <w:sz w:val="24"/>
          <w:szCs w:val="24"/>
          <w:lang w:eastAsia="ru-RU"/>
        </w:rPr>
      </w:pPr>
      <w:r w:rsidRPr="004B2884">
        <w:rPr>
          <w:rFonts w:ascii="Times New Roman" w:hAnsi="Times New Roman"/>
          <w:i/>
          <w:color w:val="000000"/>
          <w:spacing w:val="1"/>
          <w:sz w:val="24"/>
          <w:szCs w:val="24"/>
          <w:lang w:eastAsia="ru-RU"/>
        </w:rPr>
        <w:t>Оцінка впливу на сферу інтересів суб’єктів господарювання</w:t>
      </w:r>
    </w:p>
    <w:p w:rsidR="0086339E" w:rsidRPr="004B2884" w:rsidRDefault="0086339E" w:rsidP="0091791B">
      <w:pPr>
        <w:widowControl w:val="0"/>
        <w:spacing w:after="0" w:line="240" w:lineRule="exact"/>
        <w:ind w:left="280" w:firstLine="440"/>
        <w:jc w:val="both"/>
        <w:rPr>
          <w:rFonts w:ascii="Times New Roman" w:hAnsi="Times New Roman"/>
          <w:i/>
          <w:color w:val="000000"/>
          <w:spacing w:val="1"/>
          <w:sz w:val="24"/>
          <w:szCs w:val="24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87"/>
        <w:gridCol w:w="1170"/>
        <w:gridCol w:w="1493"/>
        <w:gridCol w:w="1397"/>
        <w:gridCol w:w="1392"/>
        <w:gridCol w:w="1069"/>
      </w:tblGrid>
      <w:tr w:rsidR="0086339E" w:rsidRPr="004F44B7" w:rsidTr="009571A3">
        <w:trPr>
          <w:trHeight w:hRule="exact" w:val="4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Показник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Великі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Середні*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Малі*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Мікро*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Разом</w:t>
            </w:r>
          </w:p>
        </w:tc>
      </w:tr>
      <w:tr w:rsidR="0086339E" w:rsidRPr="004F44B7" w:rsidTr="009571A3">
        <w:trPr>
          <w:trHeight w:hRule="exact" w:val="120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571A3">
            <w:pPr>
              <w:widowControl w:val="0"/>
              <w:spacing w:after="0" w:line="274" w:lineRule="exact"/>
              <w:ind w:left="2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Кількість суб’єктів господарювання, що підпадають під дію регулювання</w:t>
            </w:r>
            <w:r w:rsidRPr="004B2884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, одиниць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86339E" w:rsidRPr="004B2884" w:rsidRDefault="0086339E" w:rsidP="00695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:rsidR="0086339E" w:rsidRPr="004B2884" w:rsidRDefault="0086339E" w:rsidP="00695ED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39E" w:rsidRPr="004B2884" w:rsidRDefault="0086339E" w:rsidP="00695ED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262</w:t>
            </w:r>
          </w:p>
        </w:tc>
      </w:tr>
      <w:tr w:rsidR="0086339E" w:rsidRPr="004F44B7" w:rsidTr="009571A3">
        <w:trPr>
          <w:trHeight w:hRule="exact" w:val="9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9571A3">
            <w:pPr>
              <w:widowControl w:val="0"/>
              <w:spacing w:after="0" w:line="274" w:lineRule="exact"/>
              <w:ind w:left="20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Питома вага групи у загальній кількості, </w:t>
            </w:r>
            <w:r w:rsidRPr="004B2884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відсотків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3,1</w:t>
            </w:r>
          </w:p>
        </w:tc>
      </w:tr>
    </w:tbl>
    <w:p w:rsidR="0086339E" w:rsidRPr="004B2884" w:rsidRDefault="0086339E" w:rsidP="009571A3">
      <w:pPr>
        <w:widowControl w:val="0"/>
        <w:shd w:val="clear" w:color="auto" w:fill="FFFFFF"/>
        <w:spacing w:before="240" w:after="0" w:line="240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Загальна кількість суб’єктів господарювання - 8450.</w:t>
      </w:r>
    </w:p>
    <w:p w:rsidR="0086339E" w:rsidRPr="004B2884" w:rsidRDefault="0086339E" w:rsidP="0091791B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* згідно інформації Нікопольської об’єднаної державної податкової інспекції ГУ ДФС у Дніпропетровській області із застосуванням методу експертних оцінок загальна кількість суб’єктів господарювання:</w:t>
      </w:r>
      <w:r w:rsidR="00735A56" w:rsidRPr="004B2884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2884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мікропідприємництво – юридичні особи – 2310, - ФОП 6128; малого підприємництва -</w:t>
      </w:r>
      <w:r w:rsidR="00735A56" w:rsidRPr="004B2884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B2884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9.</w:t>
      </w:r>
    </w:p>
    <w:p w:rsidR="0086339E" w:rsidRPr="004B2884" w:rsidRDefault="0086339E" w:rsidP="00735A56">
      <w:p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:rsidR="002F6FF0" w:rsidRDefault="002F6FF0" w:rsidP="0091791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2F6FF0" w:rsidRDefault="002F6FF0" w:rsidP="0091791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86339E" w:rsidRPr="004B2884" w:rsidRDefault="0086339E" w:rsidP="0091791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lastRenderedPageBreak/>
        <w:t>Оцінка впливу на сферу інтересів суб’єктів господарювання</w:t>
      </w:r>
    </w:p>
    <w:p w:rsidR="0086339E" w:rsidRPr="00433618" w:rsidRDefault="0086339E" w:rsidP="0091791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10"/>
          <w:szCs w:val="10"/>
          <w:lang w:eastAsia="ru-RU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87"/>
        <w:gridCol w:w="3169"/>
        <w:gridCol w:w="2659"/>
      </w:tblGrid>
      <w:tr w:rsidR="0086339E" w:rsidRPr="004F44B7" w:rsidTr="0038195A">
        <w:trPr>
          <w:trHeight w:hRule="exact" w:val="59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Вид альтернативи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Вигоди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Витрати</w:t>
            </w:r>
          </w:p>
        </w:tc>
      </w:tr>
      <w:tr w:rsidR="0086339E" w:rsidRPr="004F44B7" w:rsidTr="0038195A">
        <w:trPr>
          <w:trHeight w:hRule="exact" w:val="2372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1.</w:t>
            </w:r>
          </w:p>
          <w:p w:rsidR="0086339E" w:rsidRPr="004B2884" w:rsidRDefault="0086339E" w:rsidP="009571A3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від прийняття цього регуляторного акта (залишити без змін діючий порядок)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38195A">
            <w:pPr>
              <w:spacing w:after="0" w:line="240" w:lineRule="auto"/>
              <w:ind w:right="132" w:firstLine="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разі зацікавленості суб’єкта господарювання  в дотриманні чистоти та озеленення біля тимчасової споруду – є витрати н</w:t>
            </w:r>
            <w:r w:rsidR="0038195A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утримання об’єкту благоустрою</w:t>
            </w:r>
          </w:p>
        </w:tc>
      </w:tr>
      <w:tr w:rsidR="0086339E" w:rsidRPr="004F44B7" w:rsidTr="0038195A">
        <w:trPr>
          <w:trHeight w:hRule="exact" w:val="1131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2.</w:t>
            </w:r>
          </w:p>
          <w:p w:rsidR="0086339E" w:rsidRPr="004B2884" w:rsidRDefault="0086339E" w:rsidP="009571A3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благоустрою за рахунок бюджету міста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Суб’єкт господарювання не несе витрати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</w:tr>
      <w:tr w:rsidR="0086339E" w:rsidRPr="004F44B7" w:rsidTr="0038195A">
        <w:trPr>
          <w:trHeight w:hRule="exact" w:val="143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3.</w:t>
            </w:r>
          </w:p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осягнення визначених цілей за допомогою ринкових механізмів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або нормативним актом іншого органу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</w:tr>
      <w:tr w:rsidR="0086339E" w:rsidRPr="004F44B7" w:rsidTr="0038195A">
        <w:trPr>
          <w:trHeight w:hRule="exact" w:val="1989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4.</w:t>
            </w:r>
          </w:p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Прийняти запропонований регуляторний акт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</w:p>
          <w:p w:rsidR="0086339E" w:rsidRPr="004B2884" w:rsidRDefault="0086339E" w:rsidP="00E83ECA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Буде забезпечена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прозора та відкрита процедури сплати пайової участі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мотивація в забезпеченні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покращення та благоустрою території  біля   </w:t>
            </w:r>
            <w:r w:rsidR="00735A56"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розміщених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належних їм тимчасових споруд</w:t>
            </w:r>
          </w:p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38195A">
            <w:pPr>
              <w:spacing w:after="0" w:line="240" w:lineRule="auto"/>
              <w:ind w:right="1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Додаткові витрати згідно договору про пайову участь</w:t>
            </w:r>
          </w:p>
          <w:p w:rsidR="0086339E" w:rsidRPr="004B2884" w:rsidRDefault="0086339E" w:rsidP="00917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39E" w:rsidRPr="004B2884" w:rsidRDefault="0086339E" w:rsidP="00CC435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Оцінка впливу на сферу інтересів суб’єктів господарювання великого підприємництва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  <w:gridCol w:w="1261"/>
      </w:tblGrid>
      <w:tr w:rsidR="0086339E" w:rsidRPr="004F44B7" w:rsidTr="00ED3085">
        <w:tc>
          <w:tcPr>
            <w:tcW w:w="4360" w:type="pct"/>
            <w:vAlign w:val="center"/>
          </w:tcPr>
          <w:p w:rsidR="0086339E" w:rsidRPr="004B2884" w:rsidRDefault="0086339E" w:rsidP="009179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Сумарні витрати за альтернативами</w:t>
            </w:r>
          </w:p>
        </w:tc>
        <w:tc>
          <w:tcPr>
            <w:tcW w:w="640" w:type="pct"/>
            <w:vAlign w:val="center"/>
          </w:tcPr>
          <w:p w:rsidR="0086339E" w:rsidRPr="004B2884" w:rsidRDefault="0086339E" w:rsidP="009179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 витрат, гривень</w:t>
            </w:r>
          </w:p>
        </w:tc>
      </w:tr>
      <w:tr w:rsidR="0086339E" w:rsidRPr="004F44B7" w:rsidTr="00B971E3">
        <w:tc>
          <w:tcPr>
            <w:tcW w:w="4360" w:type="pct"/>
          </w:tcPr>
          <w:p w:rsidR="0086339E" w:rsidRPr="004B2884" w:rsidRDefault="0086339E" w:rsidP="00B971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Альтернатива 1.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від прийняття цього регуляторного акта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 (залишити без змін діючий порядок)</w:t>
            </w:r>
          </w:p>
          <w:p w:rsidR="0086339E" w:rsidRPr="004B2884" w:rsidRDefault="0086339E" w:rsidP="00B97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Сумарні витрати для суб’єктів господарювання великого і середнього підприємництва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згідно з додатком 1 до Аналізу регуляторного впливу (рядок 11 таблиці «Витрати на одного суб’єкта господарювання великого і середнього підприємництва, які виникають внаслідок дії регуляторного акту»)</w:t>
            </w:r>
          </w:p>
        </w:tc>
        <w:tc>
          <w:tcPr>
            <w:tcW w:w="640" w:type="pct"/>
          </w:tcPr>
          <w:p w:rsidR="0086339E" w:rsidRPr="004B2884" w:rsidRDefault="0086339E" w:rsidP="00B97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6339E" w:rsidRPr="004F44B7" w:rsidTr="00B971E3">
        <w:trPr>
          <w:trHeight w:val="392"/>
        </w:trPr>
        <w:tc>
          <w:tcPr>
            <w:tcW w:w="4360" w:type="pct"/>
          </w:tcPr>
          <w:p w:rsidR="0086339E" w:rsidRPr="004B2884" w:rsidRDefault="0086339E" w:rsidP="00E43F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2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ru-RU" w:eastAsia="uk-UA"/>
              </w:rPr>
              <w:t xml:space="preserve"> 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благоустрою за рахунок бюджету міста</w:t>
            </w:r>
          </w:p>
        </w:tc>
        <w:tc>
          <w:tcPr>
            <w:tcW w:w="640" w:type="pct"/>
          </w:tcPr>
          <w:p w:rsidR="0086339E" w:rsidRPr="004B2884" w:rsidRDefault="0086339E" w:rsidP="00B97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6339E" w:rsidRPr="004F44B7" w:rsidTr="00B971E3">
        <w:trPr>
          <w:trHeight w:val="392"/>
        </w:trPr>
        <w:tc>
          <w:tcPr>
            <w:tcW w:w="4360" w:type="pct"/>
          </w:tcPr>
          <w:p w:rsidR="0086339E" w:rsidRPr="004B2884" w:rsidRDefault="0086339E" w:rsidP="002B4EE7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3.</w:t>
            </w:r>
          </w:p>
          <w:p w:rsidR="0086339E" w:rsidRPr="004B2884" w:rsidRDefault="0086339E" w:rsidP="002B4EE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осягнення визначених цілей за допомогою ринкових механізмів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або нормативним актом іншого органу</w:t>
            </w:r>
          </w:p>
        </w:tc>
        <w:tc>
          <w:tcPr>
            <w:tcW w:w="640" w:type="pct"/>
          </w:tcPr>
          <w:p w:rsidR="0086339E" w:rsidRPr="004B2884" w:rsidRDefault="0086339E" w:rsidP="00B97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6339E" w:rsidRPr="004F44B7" w:rsidTr="00B971E3">
        <w:trPr>
          <w:trHeight w:val="1545"/>
        </w:trPr>
        <w:tc>
          <w:tcPr>
            <w:tcW w:w="4360" w:type="pct"/>
          </w:tcPr>
          <w:p w:rsidR="0086339E" w:rsidRPr="004B2884" w:rsidRDefault="0086339E" w:rsidP="00B971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Альтернатива 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ru-RU" w:eastAsia="uk-UA"/>
              </w:rPr>
              <w:t>4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Прийняти запропонований регуляторний акт</w:t>
            </w:r>
          </w:p>
          <w:p w:rsidR="0086339E" w:rsidRPr="004B2884" w:rsidRDefault="0086339E" w:rsidP="00B97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Сумарні витрати для суб’єктів господарювання великого і середнього підприємництва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згідно з додатком 2 до Аналізу регуляторного впливу (рядок 11 таблиці «Витрати на одного суб’єкта господарювання великого і середнього підприємництва, які виникають внаслідок дії регуляторного акту»)</w:t>
            </w:r>
          </w:p>
        </w:tc>
        <w:tc>
          <w:tcPr>
            <w:tcW w:w="640" w:type="pct"/>
          </w:tcPr>
          <w:p w:rsidR="0086339E" w:rsidRPr="004B2884" w:rsidRDefault="0086339E" w:rsidP="00B97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86339E" w:rsidRPr="004B2884" w:rsidRDefault="0086339E" w:rsidP="009179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339E" w:rsidRPr="004B2884" w:rsidRDefault="0086339E" w:rsidP="00B9043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ВИТРАТИ 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br/>
        <w:t>на одного суб’єкта господарювання великого і середнього підприємництва, які виникають внаслідок дії регуляторного акту</w:t>
      </w:r>
    </w:p>
    <w:p w:rsidR="0086339E" w:rsidRPr="004B2884" w:rsidRDefault="0086339E" w:rsidP="00B9043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(Альтернатива 1 Залишити без змін діючий Порядок)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1"/>
        <w:gridCol w:w="5972"/>
        <w:gridCol w:w="1183"/>
        <w:gridCol w:w="1183"/>
      </w:tblGrid>
      <w:tr w:rsidR="0086339E" w:rsidRPr="004F44B7" w:rsidTr="001D761E">
        <w:tc>
          <w:tcPr>
            <w:tcW w:w="688" w:type="pct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Порядковий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номер</w:t>
            </w:r>
          </w:p>
        </w:tc>
        <w:tc>
          <w:tcPr>
            <w:tcW w:w="3088" w:type="pct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612" w:type="pct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 перший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612" w:type="pct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п’ять років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1B3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Витрати, пов’язані із наймом додаткового персоналу,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Інше (уточнити),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12" w:type="pct"/>
            <w:vAlign w:val="center"/>
          </w:tcPr>
          <w:p w:rsidR="0086339E" w:rsidRPr="004B2884" w:rsidRDefault="0086339E" w:rsidP="001B3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2" w:type="pct"/>
            <w:vAlign w:val="center"/>
          </w:tcPr>
          <w:p w:rsidR="0086339E" w:rsidRPr="004B2884" w:rsidRDefault="0086339E" w:rsidP="001B3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61E">
        <w:tc>
          <w:tcPr>
            <w:tcW w:w="688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88" w:type="pct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2" w:type="pct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86339E" w:rsidRPr="004B2884" w:rsidRDefault="0086339E" w:rsidP="00B904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86339E" w:rsidRPr="004B2884" w:rsidRDefault="0086339E" w:rsidP="00D561F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Розрахунок відповідних витрат на одного суб’єкта господарювання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843"/>
        <w:gridCol w:w="2268"/>
        <w:gridCol w:w="2097"/>
      </w:tblGrid>
      <w:tr w:rsidR="00735A56" w:rsidRPr="004F44B7" w:rsidTr="00735A56">
        <w:trPr>
          <w:trHeight w:val="306"/>
        </w:trPr>
        <w:tc>
          <w:tcPr>
            <w:tcW w:w="3544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843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перший рік</w:t>
            </w:r>
          </w:p>
        </w:tc>
        <w:tc>
          <w:tcPr>
            <w:tcW w:w="2268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Періодичні (за рік)</w:t>
            </w:r>
          </w:p>
        </w:tc>
        <w:tc>
          <w:tcPr>
            <w:tcW w:w="2097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735A56" w:rsidRPr="004F44B7" w:rsidTr="00735A56">
        <w:trPr>
          <w:trHeight w:val="1244"/>
        </w:trPr>
        <w:tc>
          <w:tcPr>
            <w:tcW w:w="3544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843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7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6339E" w:rsidRPr="004B2884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9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  <w:gridCol w:w="2554"/>
      </w:tblGrid>
      <w:tr w:rsidR="00735A56" w:rsidRPr="004F44B7" w:rsidTr="00735A56">
        <w:trPr>
          <w:trHeight w:val="487"/>
        </w:trPr>
        <w:tc>
          <w:tcPr>
            <w:tcW w:w="3402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3828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2554" w:type="dxa"/>
          </w:tcPr>
          <w:p w:rsidR="0086339E" w:rsidRPr="004B2884" w:rsidRDefault="0086339E" w:rsidP="00EC58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735A56" w:rsidRPr="004F44B7" w:rsidTr="00735A56">
        <w:trPr>
          <w:trHeight w:val="841"/>
        </w:trPr>
        <w:tc>
          <w:tcPr>
            <w:tcW w:w="3402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828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4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6339E" w:rsidRPr="004B2884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76"/>
        <w:gridCol w:w="1976"/>
        <w:gridCol w:w="1293"/>
        <w:gridCol w:w="1276"/>
      </w:tblGrid>
      <w:tr w:rsidR="0086339E" w:rsidRPr="004F44B7" w:rsidTr="001B3BA2">
        <w:trPr>
          <w:trHeight w:val="1128"/>
        </w:trPr>
        <w:tc>
          <w:tcPr>
            <w:tcW w:w="3261" w:type="dxa"/>
          </w:tcPr>
          <w:p w:rsidR="0086339E" w:rsidRPr="004B2884" w:rsidRDefault="0086339E" w:rsidP="0026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976" w:type="dxa"/>
          </w:tcPr>
          <w:p w:rsidR="0086339E" w:rsidRPr="004B2884" w:rsidRDefault="0086339E" w:rsidP="0026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1976" w:type="dxa"/>
          </w:tcPr>
          <w:p w:rsidR="0086339E" w:rsidRPr="004B2884" w:rsidRDefault="0086339E" w:rsidP="0026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оплату штрафних санкцій за рік</w:t>
            </w:r>
          </w:p>
        </w:tc>
        <w:tc>
          <w:tcPr>
            <w:tcW w:w="1293" w:type="dxa"/>
          </w:tcPr>
          <w:p w:rsidR="0086339E" w:rsidRPr="004B2884" w:rsidRDefault="0086339E" w:rsidP="0026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1276" w:type="dxa"/>
          </w:tcPr>
          <w:p w:rsidR="0086339E" w:rsidRPr="004B2884" w:rsidRDefault="0086339E" w:rsidP="0026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86339E" w:rsidRPr="004F44B7" w:rsidTr="00C830C8">
        <w:trPr>
          <w:trHeight w:val="844"/>
        </w:trPr>
        <w:tc>
          <w:tcPr>
            <w:tcW w:w="3261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976" w:type="dxa"/>
          </w:tcPr>
          <w:p w:rsidR="0086339E" w:rsidRPr="004F44B7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6" w:type="dxa"/>
          </w:tcPr>
          <w:p w:rsidR="0086339E" w:rsidRPr="004F44B7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</w:tcPr>
          <w:p w:rsidR="0086339E" w:rsidRPr="004F44B7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6339E" w:rsidRPr="004F44B7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6339E" w:rsidRPr="004F44B7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FF0000"/>
          <w:sz w:val="24"/>
          <w:szCs w:val="24"/>
          <w:bdr w:val="none" w:sz="0" w:space="0" w:color="auto" w:frame="1"/>
          <w:lang w:eastAsia="uk-UA"/>
        </w:rPr>
      </w:pPr>
    </w:p>
    <w:tbl>
      <w:tblPr>
        <w:tblW w:w="9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914"/>
        <w:gridCol w:w="1914"/>
        <w:gridCol w:w="1133"/>
        <w:gridCol w:w="1070"/>
      </w:tblGrid>
      <w:tr w:rsidR="0086339E" w:rsidRPr="004F44B7" w:rsidTr="00F76A4E">
        <w:tc>
          <w:tcPr>
            <w:tcW w:w="3828" w:type="dxa"/>
          </w:tcPr>
          <w:p w:rsidR="0086339E" w:rsidRPr="004B2884" w:rsidRDefault="0086339E" w:rsidP="00D72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1914" w:type="dxa"/>
          </w:tcPr>
          <w:p w:rsidR="0086339E" w:rsidRPr="004B2884" w:rsidRDefault="0086339E" w:rsidP="00D72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914" w:type="dxa"/>
          </w:tcPr>
          <w:p w:rsidR="0086339E" w:rsidRPr="004B2884" w:rsidRDefault="0086339E" w:rsidP="00D72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оплату штрафних санкцій за рік</w:t>
            </w:r>
          </w:p>
        </w:tc>
        <w:tc>
          <w:tcPr>
            <w:tcW w:w="1133" w:type="dxa"/>
          </w:tcPr>
          <w:p w:rsidR="0086339E" w:rsidRPr="004B2884" w:rsidRDefault="0086339E" w:rsidP="00D72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1070" w:type="dxa"/>
          </w:tcPr>
          <w:p w:rsidR="0086339E" w:rsidRPr="004B2884" w:rsidRDefault="0086339E" w:rsidP="00D72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86339E" w:rsidRPr="004F44B7" w:rsidTr="00F76A4E">
        <w:tc>
          <w:tcPr>
            <w:tcW w:w="3828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914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6339E" w:rsidRPr="004F44B7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FF0000"/>
          <w:sz w:val="24"/>
          <w:szCs w:val="24"/>
          <w:bdr w:val="none" w:sz="0" w:space="0" w:color="auto" w:frame="1"/>
          <w:lang w:eastAsia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325"/>
        <w:gridCol w:w="2211"/>
        <w:gridCol w:w="1418"/>
        <w:gridCol w:w="1276"/>
      </w:tblGrid>
      <w:tr w:rsidR="0086339E" w:rsidRPr="004F44B7" w:rsidTr="001B3BA2">
        <w:trPr>
          <w:trHeight w:val="1516"/>
        </w:trPr>
        <w:tc>
          <w:tcPr>
            <w:tcW w:w="2835" w:type="dxa"/>
          </w:tcPr>
          <w:p w:rsidR="0086339E" w:rsidRPr="004B2884" w:rsidRDefault="0086339E" w:rsidP="000C0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2325" w:type="dxa"/>
          </w:tcPr>
          <w:p w:rsidR="0086339E" w:rsidRPr="004B2884" w:rsidRDefault="0086339E" w:rsidP="000C0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2211" w:type="dxa"/>
          </w:tcPr>
          <w:p w:rsidR="0086339E" w:rsidRPr="004B2884" w:rsidRDefault="0086339E" w:rsidP="000C0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1418" w:type="dxa"/>
          </w:tcPr>
          <w:p w:rsidR="0086339E" w:rsidRPr="004B2884" w:rsidRDefault="0086339E" w:rsidP="000C0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 за рік</w:t>
            </w:r>
          </w:p>
          <w:p w:rsidR="0086339E" w:rsidRPr="004B2884" w:rsidRDefault="0086339E" w:rsidP="000C0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(стартовий)</w:t>
            </w:r>
          </w:p>
        </w:tc>
        <w:tc>
          <w:tcPr>
            <w:tcW w:w="1276" w:type="dxa"/>
          </w:tcPr>
          <w:p w:rsidR="0086339E" w:rsidRPr="004B2884" w:rsidRDefault="0086339E" w:rsidP="000C0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86339E" w:rsidRPr="004F44B7" w:rsidTr="001B3BA2">
        <w:trPr>
          <w:trHeight w:val="2843"/>
        </w:trPr>
        <w:tc>
          <w:tcPr>
            <w:tcW w:w="2835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2325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11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86339E" w:rsidRPr="004B2884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363"/>
        <w:gridCol w:w="2536"/>
        <w:gridCol w:w="2363"/>
      </w:tblGrid>
      <w:tr w:rsidR="0086339E" w:rsidRPr="004F44B7" w:rsidTr="00CE7C80">
        <w:trPr>
          <w:trHeight w:val="586"/>
        </w:trPr>
        <w:tc>
          <w:tcPr>
            <w:tcW w:w="2802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2363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рік (стартовий)</w:t>
            </w:r>
          </w:p>
        </w:tc>
        <w:tc>
          <w:tcPr>
            <w:tcW w:w="2536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Періодичні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(за наступний рік)</w:t>
            </w:r>
          </w:p>
        </w:tc>
        <w:tc>
          <w:tcPr>
            <w:tcW w:w="2363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86339E" w:rsidRPr="004F44B7" w:rsidTr="00CE7C80">
        <w:trPr>
          <w:trHeight w:val="1201"/>
        </w:trPr>
        <w:tc>
          <w:tcPr>
            <w:tcW w:w="2802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Витрати на оборотні активи (матеріали, канцелярські товари тощо)</w:t>
            </w:r>
          </w:p>
        </w:tc>
        <w:tc>
          <w:tcPr>
            <w:tcW w:w="2363" w:type="dxa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3" w:type="dxa"/>
            <w:vAlign w:val="center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86339E" w:rsidRPr="004B2884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eastAsia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2789"/>
        <w:gridCol w:w="3983"/>
      </w:tblGrid>
      <w:tr w:rsidR="0086339E" w:rsidRPr="004F44B7" w:rsidTr="00CE7C80">
        <w:tc>
          <w:tcPr>
            <w:tcW w:w="3259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витрат</w:t>
            </w:r>
          </w:p>
        </w:tc>
        <w:tc>
          <w:tcPr>
            <w:tcW w:w="2789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оплату праці додатково найманого персоналу (за рік)</w:t>
            </w:r>
          </w:p>
        </w:tc>
        <w:tc>
          <w:tcPr>
            <w:tcW w:w="3983" w:type="dxa"/>
          </w:tcPr>
          <w:p w:rsidR="0086339E" w:rsidRPr="004B2884" w:rsidRDefault="0086339E" w:rsidP="008D0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за п’ять років</w:t>
            </w:r>
          </w:p>
        </w:tc>
      </w:tr>
      <w:tr w:rsidR="0086339E" w:rsidRPr="004F44B7" w:rsidTr="00CE7C80">
        <w:tc>
          <w:tcPr>
            <w:tcW w:w="3259" w:type="dxa"/>
          </w:tcPr>
          <w:p w:rsidR="0086339E" w:rsidRPr="004B2884" w:rsidRDefault="0086339E" w:rsidP="00B9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Витрати, пов’язані із наймом додаткового персоналу</w:t>
            </w:r>
          </w:p>
        </w:tc>
        <w:tc>
          <w:tcPr>
            <w:tcW w:w="2789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3" w:type="dxa"/>
          </w:tcPr>
          <w:p w:rsidR="0086339E" w:rsidRPr="004B2884" w:rsidRDefault="0086339E" w:rsidP="00B9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86339E" w:rsidRPr="004F44B7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FF0000"/>
          <w:sz w:val="24"/>
          <w:szCs w:val="24"/>
          <w:bdr w:val="none" w:sz="0" w:space="0" w:color="auto" w:frame="1"/>
          <w:lang w:eastAsia="uk-UA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0" w:name="n151"/>
      <w:bookmarkEnd w:id="10"/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IV. Вибір найбільш оптимального альтернативного способу досягнення цілей</w:t>
      </w:r>
    </w:p>
    <w:p w:rsidR="0086339E" w:rsidRPr="00433618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i/>
          <w:color w:val="000000"/>
          <w:sz w:val="10"/>
          <w:szCs w:val="10"/>
          <w:bdr w:val="none" w:sz="0" w:space="0" w:color="auto" w:frame="1"/>
          <w:lang w:eastAsia="uk-UA"/>
        </w:rPr>
      </w:pPr>
      <w:bookmarkStart w:id="11" w:name="n152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1843"/>
        <w:gridCol w:w="3226"/>
      </w:tblGrid>
      <w:tr w:rsidR="00735A56" w:rsidRPr="004F44B7" w:rsidTr="00735A56">
        <w:tc>
          <w:tcPr>
            <w:tcW w:w="4786" w:type="dxa"/>
            <w:vAlign w:val="center"/>
          </w:tcPr>
          <w:p w:rsidR="0086339E" w:rsidRPr="004B2884" w:rsidRDefault="0086339E" w:rsidP="005B14B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843" w:type="dxa"/>
            <w:vAlign w:val="center"/>
          </w:tcPr>
          <w:p w:rsidR="0086339E" w:rsidRPr="004B2884" w:rsidRDefault="0086339E" w:rsidP="00735A56">
            <w:pPr>
              <w:widowControl w:val="0"/>
              <w:spacing w:after="0" w:line="274" w:lineRule="exact"/>
              <w:ind w:left="-108" w:right="-108" w:firstLine="108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Бал результативності (за чотирибальною системою оцінки)</w:t>
            </w:r>
          </w:p>
        </w:tc>
        <w:tc>
          <w:tcPr>
            <w:tcW w:w="3226" w:type="dxa"/>
          </w:tcPr>
          <w:p w:rsidR="0086339E" w:rsidRPr="004B2884" w:rsidRDefault="0086339E" w:rsidP="005B14B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Коментарі щодо присвоєння відповідного балу</w:t>
            </w:r>
          </w:p>
        </w:tc>
      </w:tr>
      <w:tr w:rsidR="00735A56" w:rsidRPr="004F44B7" w:rsidTr="00735A56">
        <w:tc>
          <w:tcPr>
            <w:tcW w:w="4786" w:type="dxa"/>
            <w:vAlign w:val="center"/>
          </w:tcPr>
          <w:p w:rsidR="0086339E" w:rsidRPr="004B2884" w:rsidRDefault="0086339E" w:rsidP="005B14B9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1.</w:t>
            </w:r>
          </w:p>
          <w:p w:rsidR="0086339E" w:rsidRPr="004B2884" w:rsidRDefault="0086339E" w:rsidP="005B14B9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від прийняття цього регуляторного акта (залишити без змін діючий порядок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)</w:t>
            </w:r>
          </w:p>
        </w:tc>
        <w:tc>
          <w:tcPr>
            <w:tcW w:w="1843" w:type="dxa"/>
            <w:vAlign w:val="center"/>
          </w:tcPr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86339E" w:rsidRPr="004B2884" w:rsidRDefault="0086339E" w:rsidP="00735A56">
            <w:pPr>
              <w:widowControl w:val="0"/>
              <w:spacing w:after="0" w:line="269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Проблема продовжує існувати</w:t>
            </w:r>
          </w:p>
        </w:tc>
      </w:tr>
      <w:tr w:rsidR="00735A56" w:rsidRPr="004F44B7" w:rsidTr="00735A56">
        <w:tc>
          <w:tcPr>
            <w:tcW w:w="4786" w:type="dxa"/>
          </w:tcPr>
          <w:p w:rsidR="0086339E" w:rsidRPr="004B2884" w:rsidRDefault="0086339E" w:rsidP="00735A56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2</w:t>
            </w:r>
          </w:p>
          <w:p w:rsidR="0086339E" w:rsidRPr="004B2884" w:rsidRDefault="0086339E" w:rsidP="00735A56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благоустрою за рахунок бюджету міста</w:t>
            </w:r>
          </w:p>
        </w:tc>
        <w:tc>
          <w:tcPr>
            <w:tcW w:w="1843" w:type="dxa"/>
            <w:vAlign w:val="center"/>
          </w:tcPr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86339E" w:rsidRPr="004B2884" w:rsidRDefault="0086339E" w:rsidP="005B14B9">
            <w:pPr>
              <w:widowControl w:val="0"/>
              <w:spacing w:after="0" w:line="269" w:lineRule="exact"/>
              <w:ind w:left="6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В разі уникнення суб’єкта господарювання від утримання </w:t>
            </w:r>
            <w:r w:rsidR="00735A56"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об’єкту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 благоустрою - проблема санітарного стану території вирішується за рахунок бюджетних коштів </w:t>
            </w:r>
          </w:p>
        </w:tc>
      </w:tr>
      <w:tr w:rsidR="00735A56" w:rsidRPr="004F44B7" w:rsidTr="00735A56">
        <w:trPr>
          <w:trHeight w:val="702"/>
        </w:trPr>
        <w:tc>
          <w:tcPr>
            <w:tcW w:w="4786" w:type="dxa"/>
          </w:tcPr>
          <w:p w:rsidR="0086339E" w:rsidRPr="004B2884" w:rsidRDefault="0086339E" w:rsidP="005B14B9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3.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339E" w:rsidRPr="004B2884" w:rsidRDefault="0086339E" w:rsidP="005B14B9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Досягнення визначених цілей за допомогою ринкових механізмів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або нормативним актом іншого органу</w:t>
            </w:r>
          </w:p>
        </w:tc>
        <w:tc>
          <w:tcPr>
            <w:tcW w:w="1843" w:type="dxa"/>
            <w:vAlign w:val="center"/>
          </w:tcPr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86339E" w:rsidRPr="004B2884" w:rsidRDefault="0086339E" w:rsidP="00735A56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Не відповідає нормам діючого законодавства</w:t>
            </w:r>
          </w:p>
        </w:tc>
      </w:tr>
      <w:tr w:rsidR="00735A56" w:rsidRPr="004F44B7" w:rsidTr="00735A56">
        <w:trPr>
          <w:trHeight w:val="791"/>
        </w:trPr>
        <w:tc>
          <w:tcPr>
            <w:tcW w:w="4786" w:type="dxa"/>
          </w:tcPr>
          <w:p w:rsidR="0086339E" w:rsidRPr="004B2884" w:rsidRDefault="0086339E" w:rsidP="00735A5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4.</w:t>
            </w:r>
          </w:p>
          <w:p w:rsidR="0086339E" w:rsidRPr="004B2884" w:rsidRDefault="0086339E" w:rsidP="00735A5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Прийняти запропонований регуляторний акт</w:t>
            </w:r>
            <w:r w:rsidR="00735A56"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6339E" w:rsidRPr="004B2884" w:rsidRDefault="0086339E" w:rsidP="00735A56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86339E" w:rsidRPr="004B2884" w:rsidRDefault="00735A56" w:rsidP="00735A56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Цілі прийняття регулятор</w:t>
            </w:r>
            <w:r w:rsidR="0086339E"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ного акту будуть досягнуті повною мірою</w:t>
            </w:r>
          </w:p>
        </w:tc>
      </w:tr>
    </w:tbl>
    <w:p w:rsidR="0086339E" w:rsidRPr="004F44B7" w:rsidRDefault="0086339E" w:rsidP="004F44B7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 w:eastAsia="uk-UA"/>
        </w:rPr>
      </w:pPr>
      <w:bookmarkStart w:id="12" w:name="n161"/>
      <w:bookmarkEnd w:id="1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463"/>
        <w:gridCol w:w="1309"/>
        <w:gridCol w:w="3654"/>
      </w:tblGrid>
      <w:tr w:rsidR="0086339E" w:rsidRPr="004F44B7" w:rsidTr="00CE7C80">
        <w:tc>
          <w:tcPr>
            <w:tcW w:w="2355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Рейтинг результативності</w:t>
            </w:r>
          </w:p>
        </w:tc>
        <w:tc>
          <w:tcPr>
            <w:tcW w:w="2463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Вигоди (підсумок)</w:t>
            </w:r>
          </w:p>
        </w:tc>
        <w:tc>
          <w:tcPr>
            <w:tcW w:w="1309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(підсумок)</w:t>
            </w:r>
          </w:p>
        </w:tc>
        <w:tc>
          <w:tcPr>
            <w:tcW w:w="3654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Обґрунтування відповідного місця альтернативи у рейтингу</w:t>
            </w:r>
          </w:p>
        </w:tc>
      </w:tr>
      <w:tr w:rsidR="0086339E" w:rsidRPr="004F44B7" w:rsidTr="00CE7C80">
        <w:tc>
          <w:tcPr>
            <w:tcW w:w="2355" w:type="dxa"/>
          </w:tcPr>
          <w:p w:rsidR="0086339E" w:rsidRPr="004B2884" w:rsidRDefault="0086339E" w:rsidP="00DF0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Альтернатива 4.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Прийняти запропонований регуляторний акт</w:t>
            </w:r>
          </w:p>
        </w:tc>
        <w:tc>
          <w:tcPr>
            <w:tcW w:w="2463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Приведення нормативно-правової бази у відповідність до вимог чинного законодавства України</w:t>
            </w:r>
          </w:p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3654" w:type="dxa"/>
          </w:tcPr>
          <w:p w:rsidR="0086339E" w:rsidRPr="004B2884" w:rsidRDefault="0086339E" w:rsidP="00DF0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Прийняття цього регуляторного акту дасть можливість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мотивувати юридичних осіб та фізичних осіб-підприємців виконувати встановлені вимоги щодо благоустрою території, забезпечувати чистоту та  порядок біля розміщених тимчасових споруд. Буде встановлена чітка і прозора процедура визначення обсягів пайової участі (внеску) у триманні об’єктів благоустрою </w:t>
            </w:r>
            <w:r w:rsidR="00735A5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міста</w:t>
            </w:r>
          </w:p>
        </w:tc>
      </w:tr>
      <w:tr w:rsidR="0086339E" w:rsidRPr="004F44B7" w:rsidTr="00CE7C80">
        <w:tc>
          <w:tcPr>
            <w:tcW w:w="2355" w:type="dxa"/>
          </w:tcPr>
          <w:p w:rsidR="0086339E" w:rsidRPr="004B2884" w:rsidRDefault="0086339E" w:rsidP="001B3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lastRenderedPageBreak/>
              <w:t xml:space="preserve">Альтернатива 1.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Відмова від прийняття цього регуляторного акта (залишити без змін діючий порядок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)</w:t>
            </w:r>
          </w:p>
        </w:tc>
        <w:tc>
          <w:tcPr>
            <w:tcW w:w="2463" w:type="dxa"/>
          </w:tcPr>
          <w:p w:rsidR="0086339E" w:rsidRPr="004B2884" w:rsidRDefault="0086339E" w:rsidP="00DF0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Залишається можливість уникнення  суб’єктів господарювання від належного утримання об’єктів благоустрою</w:t>
            </w:r>
          </w:p>
        </w:tc>
        <w:tc>
          <w:tcPr>
            <w:tcW w:w="1309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бюджету</w:t>
            </w:r>
          </w:p>
        </w:tc>
        <w:tc>
          <w:tcPr>
            <w:tcW w:w="3654" w:type="dxa"/>
          </w:tcPr>
          <w:p w:rsidR="0086339E" w:rsidRPr="004B2884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Цілі прийняття регуляторного акту не будуть досягнуті</w:t>
            </w:r>
          </w:p>
        </w:tc>
      </w:tr>
      <w:tr w:rsidR="0086339E" w:rsidRPr="004F44B7" w:rsidTr="00CE7C80">
        <w:tc>
          <w:tcPr>
            <w:tcW w:w="2355" w:type="dxa"/>
          </w:tcPr>
          <w:p w:rsidR="0086339E" w:rsidRPr="004B2884" w:rsidRDefault="0086339E" w:rsidP="00C261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2</w:t>
            </w:r>
            <w:r w:rsidR="00C26173"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:rsidR="0086339E" w:rsidRPr="004B2884" w:rsidRDefault="0086339E" w:rsidP="00C261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Утримання об’єктів благоустрою за рахунок бюджету міста</w:t>
            </w:r>
          </w:p>
        </w:tc>
        <w:tc>
          <w:tcPr>
            <w:tcW w:w="2463" w:type="dxa"/>
          </w:tcPr>
          <w:p w:rsidR="0086339E" w:rsidRPr="004F44B7" w:rsidRDefault="0086339E" w:rsidP="00DF0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Навантаження на утриманні об’єктів благоустрою в належному санітарному стані залишається на бюджеті міста  </w:t>
            </w:r>
          </w:p>
        </w:tc>
        <w:tc>
          <w:tcPr>
            <w:tcW w:w="1309" w:type="dxa"/>
          </w:tcPr>
          <w:p w:rsidR="0086339E" w:rsidRPr="004F44B7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Витрати бюджету</w:t>
            </w:r>
          </w:p>
        </w:tc>
        <w:tc>
          <w:tcPr>
            <w:tcW w:w="3654" w:type="dxa"/>
          </w:tcPr>
          <w:p w:rsidR="0086339E" w:rsidRPr="004F44B7" w:rsidRDefault="0086339E" w:rsidP="00815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39E" w:rsidRPr="004F44B7" w:rsidTr="00CE7C80">
        <w:tc>
          <w:tcPr>
            <w:tcW w:w="2355" w:type="dxa"/>
          </w:tcPr>
          <w:p w:rsidR="0086339E" w:rsidRPr="004B2884" w:rsidRDefault="0086339E" w:rsidP="00DF0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Альтернатива 3.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Досягнення визначених цілей за допомогою ринкових механізмів</w:t>
            </w:r>
            <w:r w:rsidRPr="004B288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або нормативним актом іншого органу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3" w:type="dxa"/>
          </w:tcPr>
          <w:p w:rsidR="0086339E" w:rsidRPr="004F44B7" w:rsidRDefault="0086339E" w:rsidP="00E83E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1309" w:type="dxa"/>
          </w:tcPr>
          <w:p w:rsidR="0086339E" w:rsidRPr="004F44B7" w:rsidRDefault="0086339E" w:rsidP="00E83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3654" w:type="dxa"/>
          </w:tcPr>
          <w:p w:rsidR="0086339E" w:rsidRPr="004F44B7" w:rsidRDefault="0086339E" w:rsidP="00E83E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  <w:lang w:eastAsia="uk-UA"/>
              </w:rPr>
              <w:t>Не відповідає нормам діючого законодавства</w:t>
            </w:r>
          </w:p>
        </w:tc>
      </w:tr>
    </w:tbl>
    <w:p w:rsidR="0086339E" w:rsidRPr="004F44B7" w:rsidRDefault="0086339E" w:rsidP="00C2617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 w:eastAsia="uk-UA"/>
        </w:rPr>
      </w:pPr>
    </w:p>
    <w:tbl>
      <w:tblPr>
        <w:tblW w:w="966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15"/>
        <w:gridCol w:w="2957"/>
        <w:gridCol w:w="2990"/>
      </w:tblGrid>
      <w:tr w:rsidR="0086339E" w:rsidRPr="004F44B7" w:rsidTr="00ED3085">
        <w:trPr>
          <w:trHeight w:hRule="exact" w:val="11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7B580B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  <w:t>Рейтинг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7B580B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565C8B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  <w:t>Оцінка ризику зовнішніх чинників на дію запропонованого регуляторного акту</w:t>
            </w:r>
          </w:p>
        </w:tc>
      </w:tr>
      <w:tr w:rsidR="0086339E" w:rsidRPr="004F44B7" w:rsidTr="00C26173">
        <w:trPr>
          <w:trHeight w:hRule="exact" w:val="279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D4544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Альтернатива 1. </w:t>
            </w: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Прийняти запропонований регуляторний акт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F44B7" w:rsidRDefault="0086339E" w:rsidP="00ED3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z w:val="24"/>
                <w:szCs w:val="24"/>
              </w:rPr>
              <w:t>Прийняття цього регуляторного акту дасть можливість отримання чітких умов видачі дозволів або відмови в їх видачі, переоформлення, видачі дублікатів, анулювання; запобігання порушень прав і законних  інтересів інших суб'єктів благоустрою міста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F44B7" w:rsidRDefault="0086339E" w:rsidP="00ED30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pacing w:val="1"/>
                <w:sz w:val="24"/>
                <w:szCs w:val="24"/>
              </w:rPr>
              <w:t>Зміни діючого законодавства у сфері благоустрою, містобудівної діяльності, землекористування</w:t>
            </w:r>
          </w:p>
        </w:tc>
      </w:tr>
      <w:tr w:rsidR="0086339E" w:rsidRPr="004F44B7" w:rsidTr="00C26173">
        <w:trPr>
          <w:trHeight w:hRule="exact" w:val="85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D454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 xml:space="preserve">Альтернатива 2.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Здійснити регулювання нормативним актом іншого органу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F44B7" w:rsidRDefault="0086339E" w:rsidP="0036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z w:val="24"/>
                <w:szCs w:val="24"/>
              </w:rPr>
              <w:t>Не відповідає нормам діючого законодавства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F44B7" w:rsidRDefault="0086339E" w:rsidP="00ED30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</w:tr>
      <w:tr w:rsidR="0086339E" w:rsidRPr="004F44B7" w:rsidTr="00C26173">
        <w:trPr>
          <w:trHeight w:hRule="exact" w:val="56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B2884" w:rsidRDefault="0086339E" w:rsidP="00D4544D">
            <w:pPr>
              <w:widowControl w:val="0"/>
              <w:spacing w:after="0" w:line="240" w:lineRule="auto"/>
              <w:ind w:left="2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uk-UA"/>
              </w:rPr>
              <w:t>Альтернатива 3. Залишити без змін діючий Порядок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F44B7" w:rsidRDefault="0086339E" w:rsidP="00ED30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  <w:lang w:eastAsia="uk-UA"/>
              </w:rPr>
              <w:t>Не сприяє розв’язанню визначеної проблеми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F44B7" w:rsidRDefault="0086339E" w:rsidP="00ED30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</w:tr>
    </w:tbl>
    <w:p w:rsidR="0086339E" w:rsidRPr="004F44B7" w:rsidRDefault="0086339E" w:rsidP="007B58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339E" w:rsidRPr="004B2884" w:rsidRDefault="0086339E" w:rsidP="009571A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Оцінюючи зазначені альтернативи, перевага була віддана останній альтернативі, через те, що в цьому випадку досягти мети можливо в коротший термін.</w:t>
      </w:r>
    </w:p>
    <w:p w:rsidR="0086339E" w:rsidRPr="004B2884" w:rsidRDefault="0086339E" w:rsidP="009571A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>У разі прийняття запропонованого регуляторного акта рівень можливостей досягнення цілей передбачених є високим, оскільки суб’єкти господарювання зацікавлені у прозорості та відкритості процедури сплати пайової участі.</w:t>
      </w:r>
    </w:p>
    <w:p w:rsidR="0086339E" w:rsidRPr="004B2884" w:rsidRDefault="0086339E" w:rsidP="009571A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t>Цей регуляторний акт мотивує юридичних осіб та фізичних осіб-підприємців виконувати встановлені вимоги щодо благоустрою, забезпечувати чистот</w:t>
      </w:r>
      <w:r w:rsidR="00C26173" w:rsidRPr="004B2884">
        <w:rPr>
          <w:color w:val="000000"/>
        </w:rPr>
        <w:t>у та  порядок  у місті Нікополі</w:t>
      </w:r>
      <w:r w:rsidRPr="004B2884">
        <w:rPr>
          <w:color w:val="000000"/>
        </w:rPr>
        <w:t xml:space="preserve"> при розміщенні належних їм об’єктів.</w:t>
      </w:r>
    </w:p>
    <w:p w:rsidR="0086339E" w:rsidRPr="004B2884" w:rsidRDefault="0086339E" w:rsidP="00DF02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B2884">
        <w:rPr>
          <w:color w:val="000000"/>
        </w:rPr>
        <w:lastRenderedPageBreak/>
        <w:t>Реалізація запроваджень регуляторного акта не потребує додаткових матеріальних та фінансових витрат з бюджету міста.</w:t>
      </w:r>
    </w:p>
    <w:p w:rsidR="0086339E" w:rsidRPr="004B2884" w:rsidRDefault="0086339E" w:rsidP="00C2617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B2884">
        <w:rPr>
          <w:rFonts w:ascii="Times New Roman" w:hAnsi="Times New Roman"/>
          <w:color w:val="000000"/>
          <w:sz w:val="24"/>
          <w:szCs w:val="24"/>
        </w:rPr>
        <w:t>Вплив зовнішніх факторів виключений, за винятком, вип</w:t>
      </w:r>
      <w:r w:rsidR="00C26173" w:rsidRPr="004B2884">
        <w:rPr>
          <w:rFonts w:ascii="Times New Roman" w:hAnsi="Times New Roman"/>
          <w:color w:val="000000"/>
          <w:sz w:val="24"/>
          <w:szCs w:val="24"/>
        </w:rPr>
        <w:t xml:space="preserve">адку змін законодавства України </w:t>
      </w:r>
      <w:r w:rsidRPr="004B2884">
        <w:rPr>
          <w:rFonts w:ascii="Times New Roman" w:hAnsi="Times New Roman"/>
          <w:color w:val="000000"/>
          <w:sz w:val="24"/>
          <w:szCs w:val="24"/>
        </w:rPr>
        <w:t>у сфері регулювання цього питання</w:t>
      </w:r>
      <w:r w:rsidR="00C26173" w:rsidRPr="004B2884">
        <w:rPr>
          <w:rFonts w:ascii="Times New Roman" w:hAnsi="Times New Roman"/>
          <w:color w:val="000000"/>
          <w:sz w:val="24"/>
          <w:szCs w:val="24"/>
        </w:rPr>
        <w:t>.</w:t>
      </w:r>
    </w:p>
    <w:p w:rsidR="0086339E" w:rsidRPr="004F44B7" w:rsidRDefault="0086339E" w:rsidP="0092645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bdr w:val="none" w:sz="0" w:space="0" w:color="auto" w:frame="1"/>
          <w:lang w:eastAsia="uk-UA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V. Механізми та заходи, які забезпечать розв’язання визначеної проблеми</w:t>
      </w:r>
    </w:p>
    <w:p w:rsidR="0086339E" w:rsidRPr="004F44B7" w:rsidRDefault="0086339E" w:rsidP="000847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n163"/>
      <w:bookmarkEnd w:id="13"/>
      <w:r w:rsidRPr="004F44B7">
        <w:rPr>
          <w:rFonts w:ascii="Times New Roman" w:hAnsi="Times New Roman"/>
          <w:sz w:val="24"/>
          <w:szCs w:val="24"/>
          <w:lang w:eastAsia="ru-RU"/>
        </w:rPr>
        <w:t>Для розв’язання визначеної проблеми після набрання чинності регуляторним актом буде вжито наступні заходи:</w:t>
      </w:r>
    </w:p>
    <w:p w:rsidR="0086339E" w:rsidRPr="004F44B7" w:rsidRDefault="0086339E" w:rsidP="000847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4B7">
        <w:rPr>
          <w:rFonts w:ascii="Times New Roman" w:hAnsi="Times New Roman"/>
          <w:sz w:val="24"/>
          <w:szCs w:val="24"/>
          <w:lang w:eastAsia="ru-RU"/>
        </w:rPr>
        <w:t xml:space="preserve">- оприлюднення рішення Нікопольської міської ради </w:t>
      </w:r>
      <w:r w:rsidRPr="004F44B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4F44B7">
        <w:rPr>
          <w:rFonts w:ascii="Times New Roman" w:hAnsi="Times New Roman"/>
          <w:b/>
          <w:sz w:val="24"/>
          <w:szCs w:val="24"/>
        </w:rPr>
        <w:t>Про  визначення  обсягів пайової участі (внеску)в утриманні об’єктів благоустрою м.</w:t>
      </w:r>
      <w:r w:rsidR="00926454" w:rsidRPr="004F44B7">
        <w:rPr>
          <w:rFonts w:ascii="Times New Roman" w:hAnsi="Times New Roman"/>
          <w:b/>
          <w:sz w:val="24"/>
          <w:szCs w:val="24"/>
        </w:rPr>
        <w:t xml:space="preserve"> </w:t>
      </w:r>
      <w:r w:rsidRPr="004F44B7">
        <w:rPr>
          <w:rFonts w:ascii="Times New Roman" w:hAnsi="Times New Roman"/>
          <w:b/>
          <w:sz w:val="24"/>
          <w:szCs w:val="24"/>
        </w:rPr>
        <w:t>Нікополя при розміщенні тимчасових споруд соціально – культурного, торговельного та іншого призначення</w:t>
      </w:r>
      <w:r w:rsidRPr="004F44B7">
        <w:rPr>
          <w:rFonts w:ascii="Times New Roman" w:hAnsi="Times New Roman"/>
          <w:sz w:val="24"/>
          <w:szCs w:val="24"/>
        </w:rPr>
        <w:t>»</w:t>
      </w:r>
      <w:r w:rsidRPr="004F44B7">
        <w:rPr>
          <w:rFonts w:ascii="Times New Roman" w:hAnsi="Times New Roman"/>
          <w:b/>
          <w:sz w:val="24"/>
          <w:szCs w:val="24"/>
        </w:rPr>
        <w:t xml:space="preserve"> </w:t>
      </w:r>
      <w:r w:rsidR="00926454" w:rsidRPr="004F44B7">
        <w:rPr>
          <w:rFonts w:ascii="Times New Roman" w:hAnsi="Times New Roman"/>
          <w:sz w:val="24"/>
          <w:szCs w:val="24"/>
          <w:lang w:eastAsia="ru-RU"/>
        </w:rPr>
        <w:t>у газеті міської громади «Нікопольська правда»</w:t>
      </w:r>
      <w:r w:rsidRPr="004F44B7">
        <w:rPr>
          <w:rFonts w:ascii="Times New Roman" w:hAnsi="Times New Roman"/>
          <w:sz w:val="24"/>
          <w:szCs w:val="24"/>
          <w:lang w:eastAsia="ru-RU"/>
        </w:rPr>
        <w:t xml:space="preserve"> та офіційному веб-сайті Нікопольської міської ради.</w:t>
      </w:r>
    </w:p>
    <w:p w:rsidR="0086339E" w:rsidRPr="004F44B7" w:rsidRDefault="0086339E" w:rsidP="0092645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VI. Оцінка виконання вимог регуляторного акту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86339E" w:rsidRPr="004F44B7" w:rsidRDefault="0086339E" w:rsidP="00CB12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n164"/>
      <w:bookmarkEnd w:id="14"/>
      <w:r w:rsidRPr="004F44B7">
        <w:rPr>
          <w:rFonts w:ascii="Times New Roman" w:hAnsi="Times New Roman"/>
          <w:sz w:val="24"/>
          <w:szCs w:val="24"/>
          <w:lang w:eastAsia="ru-RU"/>
        </w:rPr>
        <w:t>Прийняття цього регуляторного акту забезпечить достатні умови для реалізації прав та виконання обов’язків суб'єктами у сфері  благоустрою міста. На дію регуляторного акту можуть вплинути зміни вимог чинного законодавства у сфері благоустрою, містобудівної діяльності, землекористування.</w:t>
      </w:r>
    </w:p>
    <w:p w:rsidR="0086339E" w:rsidRPr="004B2884" w:rsidRDefault="0086339E" w:rsidP="00DF5F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339E" w:rsidRPr="004B2884" w:rsidRDefault="0086339E" w:rsidP="00DF5FBB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86339E" w:rsidRPr="004B2884" w:rsidRDefault="0086339E" w:rsidP="00DF5FBB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малого підприємництва (М-Тест)</w:t>
      </w:r>
    </w:p>
    <w:p w:rsidR="0086339E" w:rsidRPr="004B2884" w:rsidRDefault="0086339E" w:rsidP="003E6A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Консультації щодо визначення впливу запропонованого регулювання на суб’єкти малого підприємництва та визначення детального переліку процедур, необхідне для здійснення регулювання, проведено </w:t>
      </w:r>
      <w:r w:rsidRPr="00433618">
        <w:rPr>
          <w:rFonts w:ascii="Times New Roman" w:hAnsi="Times New Roman"/>
          <w:color w:val="000000"/>
          <w:sz w:val="24"/>
          <w:szCs w:val="24"/>
          <w:lang w:eastAsia="ru-RU"/>
        </w:rPr>
        <w:t>розробником у період з 01 серпня до 15 серпня 2016 року.</w:t>
      </w:r>
    </w:p>
    <w:tbl>
      <w:tblPr>
        <w:tblW w:w="970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3638"/>
        <w:gridCol w:w="1607"/>
        <w:gridCol w:w="3880"/>
      </w:tblGrid>
      <w:tr w:rsidR="0086339E" w:rsidRPr="004F44B7" w:rsidTr="00433618">
        <w:trPr>
          <w:trHeight w:hRule="exact" w:val="21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433618">
            <w:pPr>
              <w:spacing w:after="0" w:line="240" w:lineRule="auto"/>
              <w:ind w:right="22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B2884" w:rsidRDefault="0086339E" w:rsidP="003E6A6F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  <w:p w:rsidR="0086339E" w:rsidRPr="004B2884" w:rsidRDefault="0086339E" w:rsidP="003E6A6F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учасників</w:t>
            </w:r>
          </w:p>
          <w:p w:rsidR="0086339E" w:rsidRPr="004B2884" w:rsidRDefault="0086339E" w:rsidP="003E6A6F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консультацій,</w:t>
            </w:r>
          </w:p>
          <w:p w:rsidR="0086339E" w:rsidRPr="004B2884" w:rsidRDefault="0086339E" w:rsidP="003E6A6F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3E6A6F">
            <w:pPr>
              <w:spacing w:after="0" w:line="240" w:lineRule="auto"/>
              <w:ind w:left="78" w:right="1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Основні результати консультацій (опис)</w:t>
            </w:r>
          </w:p>
        </w:tc>
      </w:tr>
      <w:tr w:rsidR="0086339E" w:rsidRPr="004F44B7" w:rsidTr="00433618">
        <w:trPr>
          <w:trHeight w:hRule="exact" w:val="8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ind w:left="116" w:right="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Зустрічі з окремими суб’єктами малого підприємництва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39E" w:rsidRPr="004F44B7" w:rsidRDefault="0086339E" w:rsidP="00343DBE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ind w:left="7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Отримано інформацію від суб’єктів господарювання щодо постійного зростання витрат на ведення бізнесу</w:t>
            </w:r>
          </w:p>
        </w:tc>
      </w:tr>
      <w:tr w:rsidR="0086339E" w:rsidRPr="004F44B7" w:rsidTr="00433618">
        <w:trPr>
          <w:trHeight w:hRule="exact" w:val="8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ind w:left="116" w:right="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Телефонні розмови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F44B7" w:rsidRDefault="0086339E" w:rsidP="003E6A6F">
            <w:pPr>
              <w:spacing w:after="0" w:line="240" w:lineRule="auto"/>
              <w:ind w:left="7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Уточнення інформації щодо витрат суб’єкта господарювання на виконання вимог регулювання</w:t>
            </w:r>
          </w:p>
        </w:tc>
      </w:tr>
      <w:tr w:rsidR="0086339E" w:rsidRPr="004F44B7" w:rsidTr="00926454">
        <w:trPr>
          <w:trHeight w:hRule="exact" w:val="39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33618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6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33618" w:rsidRDefault="0086339E" w:rsidP="003E6A6F">
            <w:pPr>
              <w:spacing w:after="0" w:line="240" w:lineRule="auto"/>
              <w:ind w:left="116" w:right="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61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 засідання ГО «Нікопольський центр підтримки підприємництва»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39E" w:rsidRPr="00433618" w:rsidRDefault="0086339E" w:rsidP="00343DBE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6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39E" w:rsidRPr="004B2884" w:rsidRDefault="0086339E" w:rsidP="00926454">
            <w:pPr>
              <w:spacing w:after="0" w:line="240" w:lineRule="auto"/>
              <w:ind w:left="7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Роз’яснено підприємцям розрахунок обсягів  пайової участі(внеску), яким</w:t>
            </w:r>
            <w:r w:rsidR="0038195A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в  разі неможливості утримувати об’єкт благоустрою самостійно, суб’єкт господарювання має право  укласти з Балансоутримувачем об’єкту благоустрою договір пайової участі (внеску) в утриманні об’єктів благоустрою м.</w:t>
            </w:r>
            <w:r w:rsidR="00926454"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Нікополя при розміщенні тимчасових споруд соціально – культурного, торговельного та іншого призначення</w:t>
            </w:r>
          </w:p>
          <w:p w:rsidR="0086339E" w:rsidRPr="004F44B7" w:rsidRDefault="0086339E" w:rsidP="003E6A6F">
            <w:pPr>
              <w:spacing w:after="0" w:line="240" w:lineRule="auto"/>
              <w:ind w:left="7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339E" w:rsidRPr="004F44B7" w:rsidRDefault="0086339E" w:rsidP="003E6A6F">
            <w:pPr>
              <w:spacing w:after="0" w:line="240" w:lineRule="auto"/>
              <w:ind w:left="7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339E" w:rsidRPr="004F44B7" w:rsidRDefault="0086339E" w:rsidP="003E6A6F">
            <w:pPr>
              <w:spacing w:after="0" w:line="240" w:lineRule="auto"/>
              <w:ind w:left="7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339E" w:rsidRPr="00433618" w:rsidRDefault="0086339E" w:rsidP="003E6A6F">
      <w:pPr>
        <w:spacing w:after="0" w:line="240" w:lineRule="auto"/>
        <w:ind w:left="284"/>
        <w:contextualSpacing/>
        <w:rPr>
          <w:rFonts w:ascii="Times New Roman" w:hAnsi="Times New Roman"/>
          <w:sz w:val="12"/>
          <w:szCs w:val="12"/>
          <w:lang w:eastAsia="ru-RU"/>
        </w:rPr>
      </w:pP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2. Вимірювання впливу регулювання на суб’єктів малого підприємництва (мікро- та малі):</w:t>
      </w: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кількість суб’єктів малого підприємництва, на яких поширюється регулювання:                </w:t>
      </w: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>262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(одиниць), у т.ч. </w:t>
      </w: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>малого підприємництва - 0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(одиниць) та </w:t>
      </w: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мікропідприємництва -                262 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(одиниць);</w:t>
      </w: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питома вага суб’єктів малого підприємництва у загальній кількості суб’єктів господарювання, на яких проблема справляє вплив – </w:t>
      </w: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>3,1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(відсотка) (відповідно до таблиці «Оцінка впливу на сферу інтересів суб’єктів господарювання»).</w:t>
      </w:r>
    </w:p>
    <w:p w:rsidR="0086339E" w:rsidRPr="00433618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3. Розрахунок витрат суб’єктів малого підприємництва на виконання вимог регулювання</w:t>
      </w:r>
      <w:r w:rsidR="0066341B" w:rsidRPr="004B288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86339E" w:rsidRPr="004B2884" w:rsidRDefault="0086339E" w:rsidP="005012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66341B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грн.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2"/>
        <w:gridCol w:w="3984"/>
        <w:gridCol w:w="1626"/>
        <w:gridCol w:w="1336"/>
        <w:gridCol w:w="1431"/>
      </w:tblGrid>
      <w:tr w:rsidR="0086339E" w:rsidRPr="004F44B7" w:rsidTr="00480805">
        <w:trPr>
          <w:trHeight w:val="15"/>
        </w:trPr>
        <w:tc>
          <w:tcPr>
            <w:tcW w:w="668" w:type="pct"/>
          </w:tcPr>
          <w:p w:rsidR="0086339E" w:rsidRPr="004B2884" w:rsidRDefault="0086339E" w:rsidP="00480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2060" w:type="pct"/>
          </w:tcPr>
          <w:p w:rsidR="0086339E" w:rsidRPr="004B2884" w:rsidRDefault="0086339E" w:rsidP="00480805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Найменування оцінки</w:t>
            </w:r>
          </w:p>
        </w:tc>
        <w:tc>
          <w:tcPr>
            <w:tcW w:w="841" w:type="pct"/>
          </w:tcPr>
          <w:p w:rsidR="0086339E" w:rsidRPr="004B2884" w:rsidRDefault="0086339E" w:rsidP="00480805">
            <w:pPr>
              <w:spacing w:after="0" w:line="240" w:lineRule="auto"/>
              <w:ind w:hanging="1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691" w:type="pct"/>
          </w:tcPr>
          <w:p w:rsidR="0086339E" w:rsidRPr="004B2884" w:rsidRDefault="0086339E" w:rsidP="00480805">
            <w:pPr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Періодичні (за наступ-ний рік)</w:t>
            </w:r>
          </w:p>
        </w:tc>
        <w:tc>
          <w:tcPr>
            <w:tcW w:w="740" w:type="pct"/>
          </w:tcPr>
          <w:p w:rsidR="0086339E" w:rsidRPr="004B2884" w:rsidRDefault="0086339E" w:rsidP="00480805">
            <w:pPr>
              <w:spacing w:after="0" w:line="240" w:lineRule="auto"/>
              <w:ind w:left="1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Витрати за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п’ять років</w:t>
            </w:r>
          </w:p>
        </w:tc>
      </w:tr>
      <w:tr w:rsidR="0086339E" w:rsidRPr="004F44B7" w:rsidTr="001D761E">
        <w:trPr>
          <w:trHeight w:val="15"/>
        </w:trPr>
        <w:tc>
          <w:tcPr>
            <w:tcW w:w="5000" w:type="pct"/>
            <w:gridSpan w:val="5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86339E" w:rsidRPr="004F44B7" w:rsidTr="001D761E">
        <w:trPr>
          <w:trHeight w:val="526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Придбання необхідного обладнання (пристроїв, машин, механізмів)</w:t>
            </w:r>
          </w:p>
          <w:p w:rsidR="0086339E" w:rsidRPr="004B2884" w:rsidRDefault="0086339E" w:rsidP="00DF66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DF663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кількість необхідних одиниць обладнання </w:t>
            </w:r>
          </w:p>
          <w:p w:rsidR="0086339E" w:rsidRPr="004B2884" w:rsidRDefault="0086339E" w:rsidP="00DF663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Х  вартість одиниці</w:t>
            </w:r>
          </w:p>
          <w:p w:rsidR="0086339E" w:rsidRPr="004B2884" w:rsidRDefault="0086339E" w:rsidP="005012A3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Купівля урни</w:t>
            </w:r>
            <w:r w:rsidR="0066341B"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(200), віни</w:t>
            </w:r>
            <w:r w:rsidR="0066341B"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 (</w:t>
            </w: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25),</w:t>
            </w:r>
            <w:r w:rsidR="0066341B"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відро</w:t>
            </w:r>
            <w:r w:rsidR="0066341B"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(40)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1325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86339E" w:rsidRPr="004B2884" w:rsidRDefault="0086339E" w:rsidP="00DF66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DF663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</w:t>
            </w: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41" w:type="pct"/>
          </w:tcPr>
          <w:p w:rsidR="0086339E" w:rsidRPr="004B2884" w:rsidRDefault="0086339E" w:rsidP="001D7446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7446" w:rsidRPr="004F44B7" w:rsidTr="001D7446">
        <w:trPr>
          <w:trHeight w:val="1112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Процедури експлуатації обладнання (експлуатаційні витрати - витратні матеріали)</w:t>
            </w:r>
          </w:p>
          <w:p w:rsidR="0086339E" w:rsidRPr="004B2884" w:rsidRDefault="0086339E" w:rsidP="00563C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1D7446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0" w:type="pct"/>
          </w:tcPr>
          <w:p w:rsidR="0086339E" w:rsidRPr="004B2884" w:rsidRDefault="0086339E" w:rsidP="00E1117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Процедури обслуговування обладнання </w:t>
            </w:r>
          </w:p>
          <w:p w:rsidR="0086339E" w:rsidRPr="004B2884" w:rsidRDefault="0086339E" w:rsidP="00E111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E11170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0" w:type="pct"/>
          </w:tcPr>
          <w:p w:rsidR="0086339E" w:rsidRPr="004B2884" w:rsidRDefault="0086339E" w:rsidP="005818D6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Інші процедури (уточнити) 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D7446" w:rsidRPr="004F44B7" w:rsidTr="001D7446">
        <w:trPr>
          <w:trHeight w:val="587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Разом, гривень</w:t>
            </w:r>
          </w:p>
          <w:p w:rsidR="001D7446" w:rsidRPr="004B2884" w:rsidRDefault="0086339E" w:rsidP="001D7446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 (сума рядків 1 + 2 + 3 + 4 + 5)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1325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Кількість суб’єктів господарювання, що повинні виконати вимоги регулювання, </w:t>
            </w: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одиниць</w:t>
            </w:r>
          </w:p>
        </w:tc>
        <w:tc>
          <w:tcPr>
            <w:tcW w:w="2272" w:type="pct"/>
            <w:gridSpan w:val="3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Сумарно, гривень </w:t>
            </w:r>
          </w:p>
          <w:p w:rsidR="0086339E" w:rsidRPr="004B2884" w:rsidRDefault="0086339E" w:rsidP="00725A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725A1F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6339E" w:rsidRPr="004F44B7" w:rsidTr="001D761E">
        <w:trPr>
          <w:trHeight w:val="15"/>
        </w:trPr>
        <w:tc>
          <w:tcPr>
            <w:tcW w:w="5000" w:type="pct"/>
            <w:gridSpan w:val="5"/>
          </w:tcPr>
          <w:p w:rsidR="0086339E" w:rsidRPr="004B2884" w:rsidRDefault="0086339E" w:rsidP="00696F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1D7446" w:rsidRPr="004F44B7" w:rsidTr="00433618">
        <w:trPr>
          <w:trHeight w:val="24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86339E" w:rsidRPr="004B2884" w:rsidRDefault="0086339E" w:rsidP="00DB5B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1D7446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витрати часу на отримання інформації про регулювання, отримання необхідних форм та заявок Х вартість часу суб’єкта малого підприємництва (заробітна </w:t>
            </w: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плата) Х оціночна кількість форм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-2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46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8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39E" w:rsidRPr="004F44B7" w:rsidTr="00F44320">
        <w:trPr>
          <w:trHeight w:val="262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 w:hanging="8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Процедури організації виконання вимог регулювання</w:t>
            </w:r>
          </w:p>
          <w:p w:rsidR="0086339E" w:rsidRPr="004B2884" w:rsidRDefault="0086339E" w:rsidP="00F443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F44320">
            <w:pPr>
              <w:spacing w:after="0" w:line="240" w:lineRule="auto"/>
              <w:ind w:left="135" w:right="143" w:hanging="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Процедури офіційного звітування</w:t>
            </w:r>
          </w:p>
          <w:p w:rsidR="0086339E" w:rsidRPr="004B2884" w:rsidRDefault="0086339E" w:rsidP="00B811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B811AC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Процедури щодо забезпечення процесу перевірок </w:t>
            </w:r>
          </w:p>
          <w:p w:rsidR="0086339E" w:rsidRPr="004B2884" w:rsidRDefault="0086339E" w:rsidP="009A06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9A066F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Інші процедури (уточнити)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2" w:right="2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Разом, гривень</w:t>
            </w:r>
          </w:p>
          <w:p w:rsidR="0086339E" w:rsidRPr="004B2884" w:rsidRDefault="0086339E" w:rsidP="00CE39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Формула:</w:t>
            </w:r>
          </w:p>
          <w:p w:rsidR="0086339E" w:rsidRPr="004B2884" w:rsidRDefault="0086339E" w:rsidP="00CE390D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(сума рядків 9 + 10 + 11 + 12 + 13)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right="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right="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right="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0" w:type="pct"/>
          </w:tcPr>
          <w:p w:rsidR="0086339E" w:rsidRPr="004B2884" w:rsidRDefault="0086339E" w:rsidP="0066300E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Кількість суб’єктів малого підприємництва, що повинні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виконати вимоги регулювання, </w:t>
            </w: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одиниць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262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86339E" w:rsidRPr="004F44B7" w:rsidTr="001D761E">
        <w:trPr>
          <w:trHeight w:val="15"/>
        </w:trPr>
        <w:tc>
          <w:tcPr>
            <w:tcW w:w="668" w:type="pct"/>
          </w:tcPr>
          <w:p w:rsidR="0086339E" w:rsidRPr="004B2884" w:rsidRDefault="0086339E" w:rsidP="003E6A6F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060" w:type="pct"/>
          </w:tcPr>
          <w:p w:rsidR="0086339E" w:rsidRPr="004B2884" w:rsidRDefault="0086339E" w:rsidP="003E6A6F">
            <w:pPr>
              <w:spacing w:after="0" w:line="240" w:lineRule="auto"/>
              <w:ind w:left="135" w:right="14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Сумарно, гривень </w:t>
            </w:r>
          </w:p>
          <w:p w:rsidR="0086339E" w:rsidRPr="004B2884" w:rsidRDefault="0086339E" w:rsidP="0066300E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Формула: </w:t>
            </w:r>
          </w:p>
          <w:p w:rsidR="0086339E" w:rsidRPr="004B2884" w:rsidRDefault="0086339E" w:rsidP="0066300E">
            <w:pPr>
              <w:spacing w:after="0" w:line="240" w:lineRule="auto"/>
              <w:ind w:left="135" w:right="143"/>
              <w:contextualSpacing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41" w:type="pct"/>
          </w:tcPr>
          <w:p w:rsidR="0086339E" w:rsidRPr="004B2884" w:rsidRDefault="0086339E" w:rsidP="003E6A6F">
            <w:pPr>
              <w:spacing w:after="0" w:line="240" w:lineRule="auto"/>
              <w:ind w:left="1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91" w:type="pct"/>
          </w:tcPr>
          <w:p w:rsidR="0086339E" w:rsidRPr="004B2884" w:rsidRDefault="0086339E" w:rsidP="003E6A6F">
            <w:pPr>
              <w:spacing w:after="0" w:line="240" w:lineRule="auto"/>
              <w:ind w:left="1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left="1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86339E" w:rsidRPr="00433618" w:rsidRDefault="0086339E" w:rsidP="003E6A6F">
      <w:pPr>
        <w:spacing w:after="0" w:line="240" w:lineRule="auto"/>
        <w:ind w:left="284"/>
        <w:contextualSpacing/>
        <w:rPr>
          <w:rFonts w:ascii="Times New Roman" w:hAnsi="Times New Roman"/>
          <w:color w:val="000000"/>
          <w:sz w:val="12"/>
          <w:szCs w:val="12"/>
          <w:lang w:eastAsia="ru-RU"/>
        </w:rPr>
      </w:pPr>
    </w:p>
    <w:p w:rsidR="0086339E" w:rsidRPr="004B2884" w:rsidRDefault="0086339E" w:rsidP="003E6A6F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* 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згідно інформації  про основні показники соціально-економічного та культурного розвитку Дніпропетровської області по м.</w:t>
      </w:r>
      <w:r w:rsidR="001D7446"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Нікополю.</w:t>
      </w:r>
    </w:p>
    <w:p w:rsidR="0086339E" w:rsidRPr="004B2884" w:rsidRDefault="0086339E" w:rsidP="003E6A6F">
      <w:pPr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339E" w:rsidRPr="004B2884" w:rsidRDefault="0086339E" w:rsidP="003E6A6F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>Бюджетні витрати на адміністрування регулювання суб’єктів</w:t>
      </w:r>
    </w:p>
    <w:p w:rsidR="0086339E" w:rsidRPr="004B2884" w:rsidRDefault="0086339E" w:rsidP="003E6A6F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b/>
          <w:color w:val="000000"/>
          <w:sz w:val="24"/>
          <w:szCs w:val="24"/>
          <w:lang w:eastAsia="ru-RU"/>
        </w:rPr>
        <w:t>малого підприємництва</w:t>
      </w: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Державний орган, для якого здійснюється розрахунок вартості адміністрування регулювання:</w:t>
      </w:r>
    </w:p>
    <w:p w:rsidR="0086339E" w:rsidRPr="004F44B7" w:rsidRDefault="0086339E" w:rsidP="003E6A6F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4B7">
        <w:rPr>
          <w:rFonts w:ascii="Times New Roman" w:hAnsi="Times New Roman"/>
          <w:sz w:val="24"/>
          <w:szCs w:val="24"/>
          <w:lang w:eastAsia="ru-RU"/>
        </w:rPr>
        <w:t>Комунальне підприємство (балансоутримувач об’єктів благоустрою)</w:t>
      </w:r>
    </w:p>
    <w:p w:rsidR="0086339E" w:rsidRPr="004F44B7" w:rsidRDefault="0086339E" w:rsidP="003E6A6F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5"/>
        <w:gridCol w:w="1274"/>
        <w:gridCol w:w="1559"/>
        <w:gridCol w:w="1843"/>
        <w:gridCol w:w="1417"/>
        <w:gridCol w:w="1431"/>
      </w:tblGrid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мікро-підприємництв)</w:t>
            </w:r>
          </w:p>
        </w:tc>
        <w:tc>
          <w:tcPr>
            <w:tcW w:w="659" w:type="pct"/>
          </w:tcPr>
          <w:p w:rsidR="0086339E" w:rsidRPr="004B2884" w:rsidRDefault="0086339E" w:rsidP="003E6A6F">
            <w:pPr>
              <w:spacing w:after="0" w:line="240" w:lineRule="auto"/>
              <w:ind w:left="8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Планові витрати часу на процедуру</w:t>
            </w:r>
          </w:p>
        </w:tc>
        <w:tc>
          <w:tcPr>
            <w:tcW w:w="806" w:type="pct"/>
          </w:tcPr>
          <w:p w:rsidR="0086339E" w:rsidRPr="004B2884" w:rsidRDefault="0086339E" w:rsidP="003E6A6F">
            <w:pPr>
              <w:spacing w:after="0" w:line="240" w:lineRule="auto"/>
              <w:ind w:left="76" w:hanging="2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953" w:type="pct"/>
          </w:tcPr>
          <w:p w:rsidR="0086339E" w:rsidRPr="004B2884" w:rsidRDefault="0086339E" w:rsidP="003E6A6F">
            <w:pPr>
              <w:spacing w:after="0" w:line="240" w:lineRule="auto"/>
              <w:ind w:hanging="1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733" w:type="pct"/>
          </w:tcPr>
          <w:p w:rsidR="0086339E" w:rsidRPr="004B2884" w:rsidRDefault="0086339E" w:rsidP="003E6A6F">
            <w:pPr>
              <w:spacing w:after="0" w:line="240" w:lineRule="auto"/>
              <w:ind w:right="-14" w:firstLine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Оцінка кількості</w:t>
            </w:r>
          </w:p>
          <w:p w:rsidR="0086339E" w:rsidRPr="004B2884" w:rsidRDefault="0086339E" w:rsidP="003E6A6F">
            <w:pPr>
              <w:spacing w:after="0" w:line="240" w:lineRule="auto"/>
              <w:ind w:right="-14" w:firstLine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суб’єктів, що підпадають під дію процедури регулювання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ind w:hanging="1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 на адміністру-вання регулювання* (за рік), гривень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659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</w:tcPr>
          <w:p w:rsidR="0086339E" w:rsidRPr="004F44B7" w:rsidRDefault="0086339E" w:rsidP="003E6A6F">
            <w:pPr>
              <w:spacing w:after="0" w:line="240" w:lineRule="auto"/>
              <w:ind w:left="12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20,62</w:t>
            </w:r>
          </w:p>
        </w:tc>
        <w:tc>
          <w:tcPr>
            <w:tcW w:w="953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(процедури:</w:t>
            </w:r>
          </w:p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Розрахунок обсягу, оформлення договору)</w:t>
            </w:r>
          </w:p>
        </w:tc>
        <w:tc>
          <w:tcPr>
            <w:tcW w:w="733" w:type="pct"/>
          </w:tcPr>
          <w:p w:rsidR="0086339E" w:rsidRPr="004F44B7" w:rsidRDefault="0086339E" w:rsidP="003E6A6F">
            <w:pPr>
              <w:spacing w:after="0" w:line="240" w:lineRule="auto"/>
              <w:ind w:left="12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40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2 701,22</w:t>
            </w:r>
          </w:p>
        </w:tc>
      </w:tr>
      <w:tr w:rsidR="0086339E" w:rsidRPr="004F44B7" w:rsidTr="00F672D1">
        <w:tc>
          <w:tcPr>
            <w:tcW w:w="1109" w:type="pct"/>
          </w:tcPr>
          <w:p w:rsidR="001D7446" w:rsidRPr="004B2884" w:rsidRDefault="0086339E" w:rsidP="001D74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прибирання території 262 ТС </w:t>
            </w:r>
          </w:p>
          <w:p w:rsidR="001D7446" w:rsidRPr="004B2884" w:rsidRDefault="0086339E" w:rsidP="001D74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площа 30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кв.м, аг площа 262*30=7860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кв.м., норма на 1 прац=4 тис.кв.м, </w:t>
            </w:r>
          </w:p>
          <w:p w:rsidR="0086339E" w:rsidRPr="004B2884" w:rsidRDefault="0086339E" w:rsidP="001D74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потрібно 2 прац, ср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з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/п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2342грн*12 міс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 56208 грн</w:t>
            </w:r>
            <w:r w:rsidR="001D7446"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9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1D7446" w:rsidRPr="004F44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806" w:type="pct"/>
          </w:tcPr>
          <w:p w:rsidR="0086339E" w:rsidRPr="004F44B7" w:rsidRDefault="0086339E" w:rsidP="003E6A6F">
            <w:pPr>
              <w:spacing w:after="0" w:line="240" w:lineRule="auto"/>
              <w:ind w:left="12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28,04</w:t>
            </w:r>
          </w:p>
          <w:p w:rsidR="0086339E" w:rsidRPr="004F44B7" w:rsidRDefault="0086339E" w:rsidP="003E6A6F">
            <w:pPr>
              <w:spacing w:after="0" w:line="240" w:lineRule="auto"/>
              <w:ind w:left="12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(вартість часу 2-х працівників)</w:t>
            </w:r>
          </w:p>
        </w:tc>
        <w:tc>
          <w:tcPr>
            <w:tcW w:w="953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Прибирання території</w:t>
            </w:r>
          </w:p>
        </w:tc>
        <w:tc>
          <w:tcPr>
            <w:tcW w:w="733" w:type="pct"/>
          </w:tcPr>
          <w:p w:rsidR="0086339E" w:rsidRPr="004F44B7" w:rsidRDefault="0086339E" w:rsidP="003E6A6F">
            <w:pPr>
              <w:spacing w:after="0" w:line="240" w:lineRule="auto"/>
              <w:ind w:left="12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40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58 771,84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1D7446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Поточний контроль за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суб’єктом господарювання,</w:t>
            </w:r>
          </w:p>
          <w:p w:rsidR="0086339E" w:rsidRPr="004B2884" w:rsidRDefault="0086339E" w:rsidP="001D7446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що перебуває у сфері регулювання, у тому числі:</w:t>
            </w:r>
          </w:p>
        </w:tc>
        <w:tc>
          <w:tcPr>
            <w:tcW w:w="659" w:type="pct"/>
          </w:tcPr>
          <w:p w:rsidR="0086339E" w:rsidRPr="004B2884" w:rsidRDefault="0086339E" w:rsidP="00F672D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0,5</w:t>
            </w:r>
          </w:p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20,62</w:t>
            </w:r>
          </w:p>
        </w:tc>
        <w:tc>
          <w:tcPr>
            <w:tcW w:w="95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2 701,22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767F5F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19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камеральні</w:t>
            </w:r>
          </w:p>
        </w:tc>
        <w:tc>
          <w:tcPr>
            <w:tcW w:w="659" w:type="pct"/>
          </w:tcPr>
          <w:p w:rsidR="0086339E" w:rsidRPr="004B2884" w:rsidRDefault="001D7446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06" w:type="pct"/>
          </w:tcPr>
          <w:p w:rsidR="0086339E" w:rsidRPr="004B2884" w:rsidRDefault="001D7446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3" w:type="pct"/>
          </w:tcPr>
          <w:p w:rsidR="0086339E" w:rsidRPr="004B2884" w:rsidRDefault="001D7446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33" w:type="pct"/>
          </w:tcPr>
          <w:p w:rsidR="0086339E" w:rsidRPr="004B2884" w:rsidRDefault="001D7446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1D7446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6339E" w:rsidRPr="004F44B7" w:rsidTr="001D7446">
        <w:trPr>
          <w:trHeight w:val="268"/>
        </w:trPr>
        <w:tc>
          <w:tcPr>
            <w:tcW w:w="1109" w:type="pct"/>
          </w:tcPr>
          <w:p w:rsidR="0086339E" w:rsidRPr="004B2884" w:rsidRDefault="0086339E" w:rsidP="00767F5F">
            <w:pPr>
              <w:pStyle w:val="a9"/>
              <w:numPr>
                <w:ilvl w:val="0"/>
                <w:numId w:val="2"/>
              </w:numPr>
              <w:spacing w:after="0" w:line="240" w:lineRule="auto"/>
              <w:ind w:right="19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виїзні</w:t>
            </w:r>
          </w:p>
        </w:tc>
        <w:tc>
          <w:tcPr>
            <w:tcW w:w="659" w:type="pct"/>
          </w:tcPr>
          <w:p w:rsidR="0086339E" w:rsidRPr="004B2884" w:rsidRDefault="0086339E" w:rsidP="001D744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0,5</w:t>
            </w:r>
          </w:p>
        </w:tc>
        <w:tc>
          <w:tcPr>
            <w:tcW w:w="806" w:type="pct"/>
          </w:tcPr>
          <w:p w:rsidR="0086339E" w:rsidRPr="004B2884" w:rsidRDefault="0086339E" w:rsidP="00FE236A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20,62</w:t>
            </w:r>
          </w:p>
        </w:tc>
        <w:tc>
          <w:tcPr>
            <w:tcW w:w="953" w:type="pct"/>
          </w:tcPr>
          <w:p w:rsidR="0086339E" w:rsidRPr="004B2884" w:rsidRDefault="0086339E" w:rsidP="00FE236A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pct"/>
          </w:tcPr>
          <w:p w:rsidR="0086339E" w:rsidRPr="004B2884" w:rsidRDefault="0086339E" w:rsidP="00FE236A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40" w:type="pct"/>
          </w:tcPr>
          <w:p w:rsidR="0086339E" w:rsidRPr="004B2884" w:rsidRDefault="0086339E" w:rsidP="00FE23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2 701,22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235535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Підготовка, затвердження та опрацювання одного окремого акту про порушення вимог регулювання </w:t>
            </w:r>
          </w:p>
        </w:tc>
        <w:tc>
          <w:tcPr>
            <w:tcW w:w="659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06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3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3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0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Реалізація одного окремого рішення щодо порушення вимог регулювання </w:t>
            </w:r>
          </w:p>
        </w:tc>
        <w:tc>
          <w:tcPr>
            <w:tcW w:w="659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Оскарження одного окремого рішення суб’єктами господарювання </w:t>
            </w:r>
          </w:p>
        </w:tc>
        <w:tc>
          <w:tcPr>
            <w:tcW w:w="659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pct"/>
          </w:tcPr>
          <w:p w:rsidR="0086339E" w:rsidRPr="004F44B7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F44B7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4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Підготовка звітності за результатами регулювання</w:t>
            </w:r>
          </w:p>
        </w:tc>
        <w:tc>
          <w:tcPr>
            <w:tcW w:w="659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F672D1">
        <w:trPr>
          <w:trHeight w:val="1113"/>
        </w:trPr>
        <w:tc>
          <w:tcPr>
            <w:tcW w:w="1109" w:type="pct"/>
          </w:tcPr>
          <w:p w:rsidR="0086339E" w:rsidRPr="004B2884" w:rsidRDefault="0086339E" w:rsidP="00D264E7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7. Інші адміністративні процедури </w:t>
            </w:r>
            <w:r w:rsidRPr="004B288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(уточнити): </w:t>
            </w:r>
          </w:p>
        </w:tc>
        <w:tc>
          <w:tcPr>
            <w:tcW w:w="659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659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6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64 174,28</w:t>
            </w:r>
          </w:p>
        </w:tc>
      </w:tr>
      <w:tr w:rsidR="0086339E" w:rsidRPr="004F44B7" w:rsidTr="00F672D1">
        <w:tc>
          <w:tcPr>
            <w:tcW w:w="1109" w:type="pct"/>
          </w:tcPr>
          <w:p w:rsidR="0086339E" w:rsidRPr="004B2884" w:rsidRDefault="0086339E" w:rsidP="003E6A6F">
            <w:pPr>
              <w:spacing w:after="0" w:line="240" w:lineRule="auto"/>
              <w:ind w:left="142" w:right="19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Сумарно за п’ять років</w:t>
            </w:r>
          </w:p>
        </w:tc>
        <w:tc>
          <w:tcPr>
            <w:tcW w:w="659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6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3" w:type="pct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86339E" w:rsidRPr="004B2884" w:rsidRDefault="0086339E" w:rsidP="003E6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320 871,4</w:t>
            </w:r>
            <w:r w:rsidR="00B460C7"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86339E" w:rsidRPr="004F44B7" w:rsidRDefault="0086339E" w:rsidP="003E6A6F">
      <w:pPr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4. Розрахунок сумарних витрат суб’єктів малого підприємництва, що виникають на виконання вимог регулювання</w:t>
      </w:r>
      <w:r w:rsidR="00B460C7" w:rsidRPr="004B2884">
        <w:rPr>
          <w:rFonts w:ascii="Times New Roman" w:hAnsi="Times New Roman"/>
          <w:color w:val="000000"/>
          <w:sz w:val="24"/>
          <w:szCs w:val="24"/>
          <w:lang w:val="ru-RU" w:eastAsia="ru-RU"/>
        </w:rPr>
        <w:t>:</w:t>
      </w:r>
    </w:p>
    <w:p w:rsidR="0086339E" w:rsidRPr="004B2884" w:rsidRDefault="0086339E" w:rsidP="003E6A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50"/>
        <w:gridCol w:w="2268"/>
        <w:gridCol w:w="1807"/>
      </w:tblGrid>
      <w:tr w:rsidR="0086339E" w:rsidRPr="004F44B7" w:rsidTr="00B460C7">
        <w:tc>
          <w:tcPr>
            <w:tcW w:w="720" w:type="dxa"/>
          </w:tcPr>
          <w:p w:rsidR="0086339E" w:rsidRPr="004B2884" w:rsidRDefault="0086339E" w:rsidP="003E6A6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4950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2268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Перший рік регулювання (стартовий)</w:t>
            </w:r>
          </w:p>
        </w:tc>
        <w:tc>
          <w:tcPr>
            <w:tcW w:w="1807" w:type="dxa"/>
          </w:tcPr>
          <w:p w:rsidR="0086339E" w:rsidRPr="004B2884" w:rsidRDefault="0086339E" w:rsidP="00B46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п’ять років</w:t>
            </w:r>
          </w:p>
        </w:tc>
      </w:tr>
      <w:tr w:rsidR="0086339E" w:rsidRPr="004F44B7" w:rsidTr="00B460C7">
        <w:tc>
          <w:tcPr>
            <w:tcW w:w="720" w:type="dxa"/>
          </w:tcPr>
          <w:p w:rsidR="0086339E" w:rsidRPr="004B2884" w:rsidRDefault="0086339E" w:rsidP="003E6A6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0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268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69 430,00</w:t>
            </w:r>
          </w:p>
        </w:tc>
        <w:tc>
          <w:tcPr>
            <w:tcW w:w="1807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347 150,0</w:t>
            </w:r>
          </w:p>
        </w:tc>
      </w:tr>
      <w:tr w:rsidR="0086339E" w:rsidRPr="004F44B7" w:rsidTr="00B460C7">
        <w:tc>
          <w:tcPr>
            <w:tcW w:w="720" w:type="dxa"/>
          </w:tcPr>
          <w:p w:rsidR="0086339E" w:rsidRPr="004B2884" w:rsidRDefault="0086339E" w:rsidP="003E6A6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0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Оцінка вартості адміністративних процедур для суб’єктів малого підприємництва щодо виконання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регулювання та звітування</w:t>
            </w:r>
          </w:p>
        </w:tc>
        <w:tc>
          <w:tcPr>
            <w:tcW w:w="2268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807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60C7" w:rsidRPr="004F44B7" w:rsidTr="00433618">
        <w:trPr>
          <w:trHeight w:val="555"/>
        </w:trPr>
        <w:tc>
          <w:tcPr>
            <w:tcW w:w="720" w:type="dxa"/>
          </w:tcPr>
          <w:p w:rsidR="00B460C7" w:rsidRPr="004F44B7" w:rsidRDefault="00B460C7" w:rsidP="00BB00FB">
            <w:pPr>
              <w:rPr>
                <w:rFonts w:ascii="Times New Roman" w:hAnsi="Times New Roman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50" w:type="dxa"/>
          </w:tcPr>
          <w:p w:rsidR="00B460C7" w:rsidRPr="004F44B7" w:rsidRDefault="00B460C7" w:rsidP="00BB00FB">
            <w:pPr>
              <w:rPr>
                <w:rFonts w:ascii="Times New Roman" w:hAnsi="Times New Roman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z w:val="24"/>
                <w:szCs w:val="24"/>
              </w:rPr>
              <w:t>Сумарні витрати малого підприємництва на виконання запланованого  регулювання</w:t>
            </w:r>
          </w:p>
        </w:tc>
        <w:tc>
          <w:tcPr>
            <w:tcW w:w="2268" w:type="dxa"/>
          </w:tcPr>
          <w:p w:rsidR="00B460C7" w:rsidRPr="004F44B7" w:rsidRDefault="00B460C7" w:rsidP="008C3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z w:val="24"/>
                <w:szCs w:val="24"/>
              </w:rPr>
              <w:t>69 430,00</w:t>
            </w:r>
          </w:p>
        </w:tc>
        <w:tc>
          <w:tcPr>
            <w:tcW w:w="1807" w:type="dxa"/>
          </w:tcPr>
          <w:p w:rsidR="00B460C7" w:rsidRPr="004F44B7" w:rsidRDefault="00B460C7" w:rsidP="008C3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4B7">
              <w:rPr>
                <w:rFonts w:ascii="Times New Roman" w:hAnsi="Times New Roman"/>
                <w:sz w:val="24"/>
                <w:szCs w:val="24"/>
              </w:rPr>
              <w:t>347 150,0</w:t>
            </w:r>
          </w:p>
        </w:tc>
      </w:tr>
      <w:tr w:rsidR="0086339E" w:rsidRPr="004F44B7" w:rsidTr="00B460C7">
        <w:tc>
          <w:tcPr>
            <w:tcW w:w="720" w:type="dxa"/>
          </w:tcPr>
          <w:p w:rsidR="0086339E" w:rsidRPr="004B2884" w:rsidRDefault="0086339E" w:rsidP="003E6A6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0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268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64 174,28</w:t>
            </w:r>
          </w:p>
        </w:tc>
        <w:tc>
          <w:tcPr>
            <w:tcW w:w="1807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320 871,4</w:t>
            </w:r>
          </w:p>
        </w:tc>
      </w:tr>
      <w:tr w:rsidR="0086339E" w:rsidRPr="004F44B7" w:rsidTr="00B460C7">
        <w:tc>
          <w:tcPr>
            <w:tcW w:w="720" w:type="dxa"/>
          </w:tcPr>
          <w:p w:rsidR="0086339E" w:rsidRPr="004B2884" w:rsidRDefault="0086339E" w:rsidP="003E6A6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0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268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133 604,28</w:t>
            </w:r>
          </w:p>
        </w:tc>
        <w:tc>
          <w:tcPr>
            <w:tcW w:w="1807" w:type="dxa"/>
          </w:tcPr>
          <w:p w:rsidR="0086339E" w:rsidRPr="004B2884" w:rsidRDefault="0086339E" w:rsidP="003E6A6F">
            <w:pPr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668 021,40</w:t>
            </w:r>
          </w:p>
        </w:tc>
      </w:tr>
    </w:tbl>
    <w:p w:rsidR="0086339E" w:rsidRPr="004F44B7" w:rsidRDefault="0086339E" w:rsidP="003E6A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VII. Обґрунтування запропонованого строку дії регуляторного акту</w:t>
      </w:r>
    </w:p>
    <w:p w:rsidR="0086339E" w:rsidRPr="004B2884" w:rsidRDefault="0086339E" w:rsidP="00E61A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5" w:name="n167"/>
      <w:bookmarkEnd w:id="15"/>
      <w:r w:rsidRPr="004B28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Термін дії регуляторного акта необмежений, зміни та доповнення будуть вноситись за потребою у відповідності до змін законодавства України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6339E" w:rsidRPr="004B2884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6" w:name="n168"/>
      <w:bookmarkEnd w:id="16"/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VIII. Визначення показників результативності дії регуляторного акту</w:t>
      </w:r>
    </w:p>
    <w:p w:rsidR="0086339E" w:rsidRPr="004B2884" w:rsidRDefault="0086339E" w:rsidP="0019776F">
      <w:pPr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7" w:name="n169"/>
      <w:bookmarkEnd w:id="17"/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Виходячи з цілей державного регулювання, визначених у другом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у розділі аналізу впливу регуляторного акта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, для відстеження результативності цього регуляторного акт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обрано такі прогнозні статистичні показники: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1813"/>
        <w:gridCol w:w="1786"/>
        <w:gridCol w:w="1980"/>
      </w:tblGrid>
      <w:tr w:rsidR="0086339E" w:rsidRPr="004F44B7" w:rsidTr="002B69CA">
        <w:tc>
          <w:tcPr>
            <w:tcW w:w="4249" w:type="dxa"/>
            <w:vAlign w:val="center"/>
          </w:tcPr>
          <w:p w:rsidR="0086339E" w:rsidRPr="004B2884" w:rsidRDefault="0086339E" w:rsidP="001977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813" w:type="dxa"/>
            <w:vAlign w:val="center"/>
          </w:tcPr>
          <w:p w:rsidR="0086339E" w:rsidRPr="004B2884" w:rsidRDefault="0086339E" w:rsidP="002B6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C360A"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рогноз 2016</w:t>
            </w:r>
          </w:p>
        </w:tc>
        <w:tc>
          <w:tcPr>
            <w:tcW w:w="1786" w:type="dxa"/>
            <w:vAlign w:val="center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прогноз 201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980" w:type="dxa"/>
          </w:tcPr>
          <w:p w:rsidR="0086339E" w:rsidRPr="004B2884" w:rsidRDefault="0086339E" w:rsidP="002B6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прогноз 2018</w:t>
            </w:r>
          </w:p>
        </w:tc>
      </w:tr>
      <w:tr w:rsidR="0086339E" w:rsidRPr="004F44B7" w:rsidTr="002B69CA">
        <w:tc>
          <w:tcPr>
            <w:tcW w:w="4249" w:type="dxa"/>
          </w:tcPr>
          <w:p w:rsidR="0086339E" w:rsidRPr="004B2884" w:rsidRDefault="0086339E" w:rsidP="00422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Динаміка кількості укладених договорів на пайову участь (внеску) в утриманні об’єктів благоустрою</w:t>
            </w:r>
          </w:p>
        </w:tc>
        <w:tc>
          <w:tcPr>
            <w:tcW w:w="1813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86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980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</w:tr>
      <w:tr w:rsidR="0086339E" w:rsidRPr="004F44B7" w:rsidTr="002B69CA">
        <w:tc>
          <w:tcPr>
            <w:tcW w:w="4249" w:type="dxa"/>
          </w:tcPr>
          <w:p w:rsidR="0086339E" w:rsidRPr="004B2884" w:rsidRDefault="0086339E" w:rsidP="00422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Розмір надходжень пайової участі</w:t>
            </w: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тис.грн</w:t>
            </w:r>
          </w:p>
        </w:tc>
        <w:tc>
          <w:tcPr>
            <w:tcW w:w="1813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</w:t>
            </w:r>
          </w:p>
        </w:tc>
        <w:tc>
          <w:tcPr>
            <w:tcW w:w="1786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75,0</w:t>
            </w:r>
          </w:p>
        </w:tc>
        <w:tc>
          <w:tcPr>
            <w:tcW w:w="1980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125,0</w:t>
            </w:r>
          </w:p>
        </w:tc>
      </w:tr>
      <w:tr w:rsidR="0086339E" w:rsidRPr="004F44B7" w:rsidTr="002B69CA">
        <w:tc>
          <w:tcPr>
            <w:tcW w:w="4249" w:type="dxa"/>
          </w:tcPr>
          <w:p w:rsidR="0086339E" w:rsidRPr="004B2884" w:rsidRDefault="0086339E" w:rsidP="00422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Рівень поінформованості суб'єктів господарювання з основних положень регуляторного акта</w:t>
            </w:r>
          </w:p>
        </w:tc>
        <w:tc>
          <w:tcPr>
            <w:tcW w:w="1813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786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980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260</w:t>
            </w:r>
          </w:p>
        </w:tc>
      </w:tr>
      <w:tr w:rsidR="0086339E" w:rsidRPr="004F44B7" w:rsidTr="002B69CA">
        <w:tc>
          <w:tcPr>
            <w:tcW w:w="4249" w:type="dxa"/>
          </w:tcPr>
          <w:p w:rsidR="0086339E" w:rsidRPr="004B2884" w:rsidRDefault="0086339E" w:rsidP="002B6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адміністративних протоколів,складених на суб’єктів господарювання,  за порушення   утримання об’єктів благоустрою</w:t>
            </w:r>
          </w:p>
        </w:tc>
        <w:tc>
          <w:tcPr>
            <w:tcW w:w="1813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6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980" w:type="dxa"/>
          </w:tcPr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339E" w:rsidRPr="004B2884" w:rsidRDefault="0086339E" w:rsidP="002B6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B28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</w:tr>
    </w:tbl>
    <w:p w:rsidR="0086339E" w:rsidRPr="004F44B7" w:rsidRDefault="0086339E" w:rsidP="00952928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86339E" w:rsidRPr="004B2884" w:rsidRDefault="0086339E" w:rsidP="00952928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8" w:name="n170"/>
      <w:bookmarkEnd w:id="18"/>
      <w:r w:rsidRPr="004B288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IX. Визначення заходів, за допомогою яких здійснюватиметься відстеження результативності дії регуляторного акту</w:t>
      </w:r>
    </w:p>
    <w:p w:rsidR="0086339E" w:rsidRPr="004B2884" w:rsidRDefault="0086339E" w:rsidP="00E67B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9" w:name="n171"/>
      <w:bookmarkEnd w:id="19"/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Результативність дії регуляторного акт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буде відстежуватись сектором з питань розвитку малого та середнього бізнесу управління економічної політики  шляхом збору інф</w:t>
      </w:r>
      <w:r w:rsidR="008C360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ормаці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ї</w:t>
      </w:r>
      <w:r w:rsidR="008C360A"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її аналізу, отриману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від Балансоутримувача об’єкту благоустрою та за інформацією адміністративної комісії виконавчого коміт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ету Нікопольської міської ради.</w:t>
      </w:r>
    </w:p>
    <w:p w:rsidR="0086339E" w:rsidRPr="004B2884" w:rsidRDefault="0086339E" w:rsidP="00E67B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Базове відстеження результативності даного регуляторного акт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буде здійснено протягом шести місяців після набрання чинності регуляторного акт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(травень 2017).   </w:t>
      </w:r>
    </w:p>
    <w:p w:rsidR="0086339E" w:rsidRPr="004B2884" w:rsidRDefault="0086339E" w:rsidP="00E67B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>Повторне відстеження планується провести через півтора роки  з дня  набрання чинності регуляторного  акт</w:t>
      </w:r>
      <w:r w:rsidR="0038195A" w:rsidRPr="004B2884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B28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(травень 2018).</w:t>
      </w:r>
    </w:p>
    <w:p w:rsidR="0086339E" w:rsidRPr="004F44B7" w:rsidRDefault="0086339E" w:rsidP="00E67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4B7">
        <w:rPr>
          <w:rFonts w:ascii="Times New Roman" w:hAnsi="Times New Roman"/>
          <w:sz w:val="24"/>
          <w:szCs w:val="24"/>
          <w:lang w:eastAsia="ru-RU"/>
        </w:rPr>
        <w:t>Періодичне відстеження планується проводити один раз на три роки, починаючи від дня закінчення заходів щодо повторного відстеження результативності регуляторного акт</w:t>
      </w:r>
      <w:r w:rsidR="00A519A7">
        <w:rPr>
          <w:rFonts w:ascii="Times New Roman" w:hAnsi="Times New Roman"/>
          <w:sz w:val="24"/>
          <w:szCs w:val="24"/>
          <w:lang w:eastAsia="ru-RU"/>
        </w:rPr>
        <w:t>а</w:t>
      </w:r>
      <w:r w:rsidRPr="004F44B7">
        <w:rPr>
          <w:rFonts w:ascii="Times New Roman" w:hAnsi="Times New Roman"/>
          <w:sz w:val="24"/>
          <w:szCs w:val="24"/>
          <w:lang w:eastAsia="ru-RU"/>
        </w:rPr>
        <w:t>.</w:t>
      </w:r>
    </w:p>
    <w:p w:rsidR="0086339E" w:rsidRPr="004F44B7" w:rsidRDefault="0086339E" w:rsidP="00E67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4B7">
        <w:rPr>
          <w:rFonts w:ascii="Times New Roman" w:hAnsi="Times New Roman"/>
          <w:sz w:val="24"/>
          <w:szCs w:val="24"/>
          <w:lang w:eastAsia="ru-RU"/>
        </w:rPr>
        <w:t xml:space="preserve">Аналіз </w:t>
      </w:r>
      <w:r w:rsidR="00A519A7">
        <w:rPr>
          <w:rFonts w:ascii="Times New Roman" w:hAnsi="Times New Roman"/>
          <w:sz w:val="24"/>
          <w:szCs w:val="24"/>
          <w:lang w:eastAsia="ru-RU"/>
        </w:rPr>
        <w:t xml:space="preserve">впливу </w:t>
      </w:r>
      <w:r w:rsidRPr="004F44B7">
        <w:rPr>
          <w:rFonts w:ascii="Times New Roman" w:hAnsi="Times New Roman"/>
          <w:sz w:val="24"/>
          <w:szCs w:val="24"/>
          <w:lang w:eastAsia="ru-RU"/>
        </w:rPr>
        <w:t xml:space="preserve">регуляторного </w:t>
      </w:r>
      <w:r w:rsidR="00A519A7">
        <w:rPr>
          <w:rFonts w:ascii="Times New Roman" w:hAnsi="Times New Roman"/>
          <w:sz w:val="24"/>
          <w:szCs w:val="24"/>
          <w:lang w:eastAsia="ru-RU"/>
        </w:rPr>
        <w:t>акта</w:t>
      </w:r>
      <w:r w:rsidRPr="004F44B7">
        <w:rPr>
          <w:rFonts w:ascii="Times New Roman" w:hAnsi="Times New Roman"/>
          <w:sz w:val="24"/>
          <w:szCs w:val="24"/>
          <w:lang w:eastAsia="ru-RU"/>
        </w:rPr>
        <w:t xml:space="preserve"> підготовлено сектором з питань сприяння розвитку малого та середнього бізнесу управління економічної політики Нікопольської міської ради.</w:t>
      </w:r>
    </w:p>
    <w:p w:rsidR="0086339E" w:rsidRPr="004F44B7" w:rsidRDefault="0086339E" w:rsidP="00E67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339E" w:rsidRPr="004F44B7" w:rsidRDefault="005E1241" w:rsidP="00E67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В.о. н</w:t>
      </w:r>
      <w:r w:rsidR="0086339E" w:rsidRPr="004F44B7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86339E" w:rsidRPr="004F44B7">
        <w:rPr>
          <w:rFonts w:ascii="Times New Roman" w:hAnsi="Times New Roman"/>
          <w:sz w:val="24"/>
          <w:szCs w:val="24"/>
          <w:lang w:eastAsia="ru-RU"/>
        </w:rPr>
        <w:t xml:space="preserve"> управління </w:t>
      </w:r>
    </w:p>
    <w:p w:rsidR="0086339E" w:rsidRPr="004F44B7" w:rsidRDefault="0086339E" w:rsidP="00E67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4B7">
        <w:rPr>
          <w:rFonts w:ascii="Times New Roman" w:hAnsi="Times New Roman"/>
          <w:sz w:val="24"/>
          <w:szCs w:val="24"/>
          <w:lang w:eastAsia="ru-RU"/>
        </w:rPr>
        <w:t xml:space="preserve">економічної політики                                                                       </w:t>
      </w:r>
      <w:r w:rsidR="008C360A" w:rsidRPr="004F44B7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5E1241">
        <w:rPr>
          <w:rFonts w:ascii="Times New Roman" w:hAnsi="Times New Roman"/>
          <w:sz w:val="24"/>
          <w:szCs w:val="24"/>
          <w:lang w:eastAsia="ru-RU"/>
        </w:rPr>
        <w:t>Н.Н.</w:t>
      </w:r>
      <w:r w:rsidR="0022471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bookmarkStart w:id="20" w:name="_GoBack"/>
      <w:bookmarkEnd w:id="20"/>
      <w:r w:rsidR="00E01A2A">
        <w:rPr>
          <w:rFonts w:ascii="Times New Roman" w:hAnsi="Times New Roman"/>
          <w:sz w:val="24"/>
          <w:szCs w:val="24"/>
          <w:lang w:eastAsia="ru-RU"/>
        </w:rPr>
        <w:t>Дударчук</w:t>
      </w:r>
    </w:p>
    <w:p w:rsidR="0086339E" w:rsidRPr="004F44B7" w:rsidRDefault="0086339E" w:rsidP="00E67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86339E" w:rsidRPr="004F44B7" w:rsidSect="002F6FF0">
      <w:headerReference w:type="default" r:id="rId9"/>
      <w:pgSz w:w="11906" w:h="16838"/>
      <w:pgMar w:top="850" w:right="850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8A" w:rsidRDefault="006E508A" w:rsidP="002F6FF0">
      <w:pPr>
        <w:spacing w:after="0" w:line="240" w:lineRule="auto"/>
      </w:pPr>
      <w:r>
        <w:separator/>
      </w:r>
    </w:p>
  </w:endnote>
  <w:endnote w:type="continuationSeparator" w:id="0">
    <w:p w:rsidR="006E508A" w:rsidRDefault="006E508A" w:rsidP="002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8A" w:rsidRDefault="006E508A" w:rsidP="002F6FF0">
      <w:pPr>
        <w:spacing w:after="0" w:line="240" w:lineRule="auto"/>
      </w:pPr>
      <w:r>
        <w:separator/>
      </w:r>
    </w:p>
  </w:footnote>
  <w:footnote w:type="continuationSeparator" w:id="0">
    <w:p w:rsidR="006E508A" w:rsidRDefault="006E508A" w:rsidP="002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F0" w:rsidRDefault="002F6FF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24713" w:rsidRPr="00224713">
      <w:rPr>
        <w:noProof/>
        <w:lang w:val="ru-RU"/>
      </w:rPr>
      <w:t>16</w:t>
    </w:r>
    <w:r>
      <w:fldChar w:fldCharType="end"/>
    </w:r>
  </w:p>
  <w:p w:rsidR="002F6FF0" w:rsidRDefault="002F6F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4AF4"/>
    <w:multiLevelType w:val="multilevel"/>
    <w:tmpl w:val="6712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D0BC8"/>
    <w:multiLevelType w:val="hybridMultilevel"/>
    <w:tmpl w:val="6310CBBE"/>
    <w:lvl w:ilvl="0" w:tplc="8410D1D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928"/>
    <w:rsid w:val="000477F3"/>
    <w:rsid w:val="00056773"/>
    <w:rsid w:val="000847EA"/>
    <w:rsid w:val="00095527"/>
    <w:rsid w:val="000C03B3"/>
    <w:rsid w:val="000D6837"/>
    <w:rsid w:val="001051A7"/>
    <w:rsid w:val="00110DD9"/>
    <w:rsid w:val="00117D37"/>
    <w:rsid w:val="001216FA"/>
    <w:rsid w:val="00153A92"/>
    <w:rsid w:val="001617FA"/>
    <w:rsid w:val="00180EBC"/>
    <w:rsid w:val="0019776F"/>
    <w:rsid w:val="001A0243"/>
    <w:rsid w:val="001B3BA2"/>
    <w:rsid w:val="001C430A"/>
    <w:rsid w:val="001D7446"/>
    <w:rsid w:val="001D761E"/>
    <w:rsid w:val="0022390F"/>
    <w:rsid w:val="00224713"/>
    <w:rsid w:val="00235535"/>
    <w:rsid w:val="002439F7"/>
    <w:rsid w:val="00244E57"/>
    <w:rsid w:val="0025427E"/>
    <w:rsid w:val="00265B7A"/>
    <w:rsid w:val="002A0054"/>
    <w:rsid w:val="002A6B1E"/>
    <w:rsid w:val="002B0996"/>
    <w:rsid w:val="002B4EE7"/>
    <w:rsid w:val="002B69CA"/>
    <w:rsid w:val="002F14CD"/>
    <w:rsid w:val="002F6FF0"/>
    <w:rsid w:val="00340512"/>
    <w:rsid w:val="00343DBE"/>
    <w:rsid w:val="0034662E"/>
    <w:rsid w:val="00360763"/>
    <w:rsid w:val="0038195A"/>
    <w:rsid w:val="003A7F72"/>
    <w:rsid w:val="003D27C3"/>
    <w:rsid w:val="003E6A6F"/>
    <w:rsid w:val="0041537A"/>
    <w:rsid w:val="00422246"/>
    <w:rsid w:val="00433618"/>
    <w:rsid w:val="0043450E"/>
    <w:rsid w:val="004527D6"/>
    <w:rsid w:val="004542A3"/>
    <w:rsid w:val="004647E2"/>
    <w:rsid w:val="00471DD9"/>
    <w:rsid w:val="004742D9"/>
    <w:rsid w:val="00480805"/>
    <w:rsid w:val="004B2884"/>
    <w:rsid w:val="004C41C6"/>
    <w:rsid w:val="004F0FB0"/>
    <w:rsid w:val="004F44B7"/>
    <w:rsid w:val="004F4F6C"/>
    <w:rsid w:val="005012A3"/>
    <w:rsid w:val="00554A74"/>
    <w:rsid w:val="00557544"/>
    <w:rsid w:val="00560144"/>
    <w:rsid w:val="00563CFF"/>
    <w:rsid w:val="00565C8B"/>
    <w:rsid w:val="005818D6"/>
    <w:rsid w:val="005936AC"/>
    <w:rsid w:val="00594A72"/>
    <w:rsid w:val="005B14B9"/>
    <w:rsid w:val="005B2129"/>
    <w:rsid w:val="005B5DEC"/>
    <w:rsid w:val="005E1241"/>
    <w:rsid w:val="005F4912"/>
    <w:rsid w:val="0061171C"/>
    <w:rsid w:val="00655A98"/>
    <w:rsid w:val="0066300E"/>
    <w:rsid w:val="0066341B"/>
    <w:rsid w:val="0066720B"/>
    <w:rsid w:val="006860FA"/>
    <w:rsid w:val="00695EDF"/>
    <w:rsid w:val="00696F19"/>
    <w:rsid w:val="006A7E5C"/>
    <w:rsid w:val="006E508A"/>
    <w:rsid w:val="007143F9"/>
    <w:rsid w:val="007172A7"/>
    <w:rsid w:val="00725A1F"/>
    <w:rsid w:val="00735A56"/>
    <w:rsid w:val="00756129"/>
    <w:rsid w:val="00767F5F"/>
    <w:rsid w:val="007740B5"/>
    <w:rsid w:val="007758F5"/>
    <w:rsid w:val="007764F9"/>
    <w:rsid w:val="007B018C"/>
    <w:rsid w:val="007B580B"/>
    <w:rsid w:val="007C14AC"/>
    <w:rsid w:val="007D125E"/>
    <w:rsid w:val="007E03A3"/>
    <w:rsid w:val="007E2D03"/>
    <w:rsid w:val="0081534C"/>
    <w:rsid w:val="0084076C"/>
    <w:rsid w:val="00852452"/>
    <w:rsid w:val="00855FCC"/>
    <w:rsid w:val="0086227D"/>
    <w:rsid w:val="0086339E"/>
    <w:rsid w:val="00887C94"/>
    <w:rsid w:val="00890CD4"/>
    <w:rsid w:val="00894FBC"/>
    <w:rsid w:val="008C360A"/>
    <w:rsid w:val="008C4FF7"/>
    <w:rsid w:val="008D02A6"/>
    <w:rsid w:val="00914B94"/>
    <w:rsid w:val="0091791B"/>
    <w:rsid w:val="00926454"/>
    <w:rsid w:val="00934E90"/>
    <w:rsid w:val="00940930"/>
    <w:rsid w:val="00952928"/>
    <w:rsid w:val="00954FAD"/>
    <w:rsid w:val="009571A3"/>
    <w:rsid w:val="00960543"/>
    <w:rsid w:val="009627AF"/>
    <w:rsid w:val="0096776E"/>
    <w:rsid w:val="00971880"/>
    <w:rsid w:val="00992314"/>
    <w:rsid w:val="009A066F"/>
    <w:rsid w:val="009A32B1"/>
    <w:rsid w:val="009A33B3"/>
    <w:rsid w:val="009A558C"/>
    <w:rsid w:val="009F750B"/>
    <w:rsid w:val="00A23658"/>
    <w:rsid w:val="00A3607D"/>
    <w:rsid w:val="00A45FA6"/>
    <w:rsid w:val="00A519A7"/>
    <w:rsid w:val="00A850C8"/>
    <w:rsid w:val="00A87C3B"/>
    <w:rsid w:val="00AB3590"/>
    <w:rsid w:val="00AB71B8"/>
    <w:rsid w:val="00AB73F5"/>
    <w:rsid w:val="00B00DF0"/>
    <w:rsid w:val="00B13E8E"/>
    <w:rsid w:val="00B460C7"/>
    <w:rsid w:val="00B57C8B"/>
    <w:rsid w:val="00B6485C"/>
    <w:rsid w:val="00B65C82"/>
    <w:rsid w:val="00B66943"/>
    <w:rsid w:val="00B811AC"/>
    <w:rsid w:val="00B90432"/>
    <w:rsid w:val="00B94422"/>
    <w:rsid w:val="00B971E3"/>
    <w:rsid w:val="00BA2D8C"/>
    <w:rsid w:val="00BA4F19"/>
    <w:rsid w:val="00BB00FB"/>
    <w:rsid w:val="00BE7B40"/>
    <w:rsid w:val="00BF166D"/>
    <w:rsid w:val="00C04EC8"/>
    <w:rsid w:val="00C17D18"/>
    <w:rsid w:val="00C26173"/>
    <w:rsid w:val="00C830C8"/>
    <w:rsid w:val="00C95E3E"/>
    <w:rsid w:val="00CA7F22"/>
    <w:rsid w:val="00CB129A"/>
    <w:rsid w:val="00CC2957"/>
    <w:rsid w:val="00CC4355"/>
    <w:rsid w:val="00CD7FA1"/>
    <w:rsid w:val="00CE390D"/>
    <w:rsid w:val="00CE7C80"/>
    <w:rsid w:val="00D16D46"/>
    <w:rsid w:val="00D2484D"/>
    <w:rsid w:val="00D264E7"/>
    <w:rsid w:val="00D42FB0"/>
    <w:rsid w:val="00D4544D"/>
    <w:rsid w:val="00D561FA"/>
    <w:rsid w:val="00D673EB"/>
    <w:rsid w:val="00D72C59"/>
    <w:rsid w:val="00D96EB9"/>
    <w:rsid w:val="00DA17DE"/>
    <w:rsid w:val="00DB328D"/>
    <w:rsid w:val="00DB5BC5"/>
    <w:rsid w:val="00DD4A5E"/>
    <w:rsid w:val="00DF021A"/>
    <w:rsid w:val="00DF4911"/>
    <w:rsid w:val="00DF5FBB"/>
    <w:rsid w:val="00DF663B"/>
    <w:rsid w:val="00E005EC"/>
    <w:rsid w:val="00E01A2A"/>
    <w:rsid w:val="00E04E00"/>
    <w:rsid w:val="00E11170"/>
    <w:rsid w:val="00E17F39"/>
    <w:rsid w:val="00E34D82"/>
    <w:rsid w:val="00E43F15"/>
    <w:rsid w:val="00E61AE2"/>
    <w:rsid w:val="00E64D84"/>
    <w:rsid w:val="00E67B55"/>
    <w:rsid w:val="00E83ECA"/>
    <w:rsid w:val="00E8461C"/>
    <w:rsid w:val="00EC2B34"/>
    <w:rsid w:val="00EC583E"/>
    <w:rsid w:val="00ED3085"/>
    <w:rsid w:val="00EE1ECF"/>
    <w:rsid w:val="00F15169"/>
    <w:rsid w:val="00F30A6B"/>
    <w:rsid w:val="00F44320"/>
    <w:rsid w:val="00F64E81"/>
    <w:rsid w:val="00F672D1"/>
    <w:rsid w:val="00F75F1E"/>
    <w:rsid w:val="00F76A4E"/>
    <w:rsid w:val="00F77AD7"/>
    <w:rsid w:val="00F91B82"/>
    <w:rsid w:val="00FB2DED"/>
    <w:rsid w:val="00FB2E31"/>
    <w:rsid w:val="00FD2C6E"/>
    <w:rsid w:val="00FE236A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0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952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52928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uiPriority w:val="99"/>
    <w:semiHidden/>
    <w:rsid w:val="0095292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952928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52928"/>
    <w:rPr>
      <w:rFonts w:cs="Times New Roman"/>
    </w:rPr>
  </w:style>
  <w:style w:type="paragraph" w:styleId="a5">
    <w:name w:val="Normal (Web)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uiPriority w:val="99"/>
    <w:rsid w:val="00952928"/>
    <w:rPr>
      <w:rFonts w:cs="Times New Roman"/>
    </w:rPr>
  </w:style>
  <w:style w:type="paragraph" w:customStyle="1" w:styleId="rvps7">
    <w:name w:val="rvps7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952928"/>
    <w:rPr>
      <w:rFonts w:cs="Times New Roman"/>
    </w:rPr>
  </w:style>
  <w:style w:type="character" w:customStyle="1" w:styleId="rvts64">
    <w:name w:val="rvts64"/>
    <w:uiPriority w:val="99"/>
    <w:rsid w:val="00952928"/>
    <w:rPr>
      <w:rFonts w:cs="Times New Roman"/>
    </w:rPr>
  </w:style>
  <w:style w:type="paragraph" w:customStyle="1" w:styleId="rvps3">
    <w:name w:val="rvps3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uiPriority w:val="99"/>
    <w:rsid w:val="00952928"/>
    <w:rPr>
      <w:rFonts w:cs="Times New Roman"/>
    </w:rPr>
  </w:style>
  <w:style w:type="paragraph" w:customStyle="1" w:styleId="rvps6">
    <w:name w:val="rvps6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8">
    <w:name w:val="rvps18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52">
    <w:name w:val="rvts52"/>
    <w:uiPriority w:val="99"/>
    <w:rsid w:val="00952928"/>
    <w:rPr>
      <w:rFonts w:cs="Times New Roman"/>
    </w:rPr>
  </w:style>
  <w:style w:type="character" w:customStyle="1" w:styleId="rvts46">
    <w:name w:val="rvts46"/>
    <w:uiPriority w:val="99"/>
    <w:rsid w:val="00952928"/>
    <w:rPr>
      <w:rFonts w:cs="Times New Roman"/>
    </w:rPr>
  </w:style>
  <w:style w:type="paragraph" w:customStyle="1" w:styleId="rvps4">
    <w:name w:val="rvps4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44">
    <w:name w:val="rvts44"/>
    <w:uiPriority w:val="99"/>
    <w:rsid w:val="00952928"/>
    <w:rPr>
      <w:rFonts w:cs="Times New Roman"/>
    </w:rPr>
  </w:style>
  <w:style w:type="paragraph" w:customStyle="1" w:styleId="rvps15">
    <w:name w:val="rvps15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8">
    <w:name w:val="rvps8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95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uiPriority w:val="99"/>
    <w:rsid w:val="00952928"/>
    <w:rPr>
      <w:rFonts w:cs="Times New Roman"/>
    </w:rPr>
  </w:style>
  <w:style w:type="character" w:customStyle="1" w:styleId="rvts82">
    <w:name w:val="rvts82"/>
    <w:uiPriority w:val="99"/>
    <w:rsid w:val="00952928"/>
    <w:rPr>
      <w:rFonts w:cs="Times New Roman"/>
    </w:rPr>
  </w:style>
  <w:style w:type="character" w:customStyle="1" w:styleId="rvts58">
    <w:name w:val="rvts58"/>
    <w:uiPriority w:val="99"/>
    <w:rsid w:val="00952928"/>
    <w:rPr>
      <w:rFonts w:cs="Times New Roman"/>
    </w:rPr>
  </w:style>
  <w:style w:type="character" w:customStyle="1" w:styleId="rvts11">
    <w:name w:val="rvts11"/>
    <w:uiPriority w:val="99"/>
    <w:rsid w:val="0095292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5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529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4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A024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F6FF0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2F6FF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F6FF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2F6FF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410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476920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203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3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3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204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E209-CA93-46DA-AAEB-2CB44524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19698</Words>
  <Characters>11228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 зразок форми по Постанові КМУ</vt:lpstr>
    </vt:vector>
  </TitlesOfParts>
  <Company/>
  <LinksUpToDate>false</LinksUpToDate>
  <CharactersWithSpaces>30865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зразок форми по Постанові КМУ</dc:title>
  <dc:subject/>
  <dc:creator>USER19</dc:creator>
  <cp:keywords/>
  <dc:description/>
  <cp:lastModifiedBy>USER29</cp:lastModifiedBy>
  <cp:revision>29</cp:revision>
  <cp:lastPrinted>2016-08-22T14:29:00Z</cp:lastPrinted>
  <dcterms:created xsi:type="dcterms:W3CDTF">2016-08-19T06:16:00Z</dcterms:created>
  <dcterms:modified xsi:type="dcterms:W3CDTF">2016-08-26T11:04:00Z</dcterms:modified>
</cp:coreProperties>
</file>