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A5" w:rsidRDefault="008405A5" w:rsidP="008405A5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  <w:r w:rsidRPr="00C82261">
        <w:rPr>
          <w:b/>
          <w:sz w:val="28"/>
          <w:szCs w:val="28"/>
          <w:lang w:val="uk-UA"/>
        </w:rPr>
        <w:t xml:space="preserve">Звіт про </w:t>
      </w:r>
      <w:r w:rsidR="00EE59CC">
        <w:rPr>
          <w:b/>
          <w:sz w:val="28"/>
          <w:szCs w:val="28"/>
          <w:lang w:val="uk-UA"/>
        </w:rPr>
        <w:t>повторне</w:t>
      </w:r>
      <w:r w:rsidRPr="00C82261">
        <w:rPr>
          <w:b/>
          <w:sz w:val="28"/>
          <w:szCs w:val="28"/>
          <w:lang w:val="uk-UA"/>
        </w:rPr>
        <w:t xml:space="preserve"> відстеження</w:t>
      </w:r>
      <w:r>
        <w:rPr>
          <w:b/>
          <w:sz w:val="28"/>
          <w:szCs w:val="28"/>
          <w:lang w:val="uk-UA"/>
        </w:rPr>
        <w:t xml:space="preserve"> </w:t>
      </w:r>
      <w:r w:rsidRPr="00C82261">
        <w:rPr>
          <w:b/>
          <w:sz w:val="28"/>
          <w:szCs w:val="28"/>
          <w:lang w:val="uk-UA"/>
        </w:rPr>
        <w:t>результативності регуляторного акта</w:t>
      </w:r>
      <w:r>
        <w:rPr>
          <w:b/>
          <w:sz w:val="28"/>
          <w:szCs w:val="28"/>
          <w:lang w:val="uk-UA"/>
        </w:rPr>
        <w:t xml:space="preserve"> - рішення виконавчого комітету </w:t>
      </w:r>
      <w:r w:rsidR="00BD227F">
        <w:rPr>
          <w:b/>
          <w:sz w:val="28"/>
          <w:szCs w:val="28"/>
          <w:lang w:val="uk-UA"/>
        </w:rPr>
        <w:t>Нікопольсько</w:t>
      </w:r>
      <w:r w:rsidR="00EE59CC">
        <w:rPr>
          <w:b/>
          <w:sz w:val="28"/>
          <w:szCs w:val="28"/>
          <w:lang w:val="uk-UA"/>
        </w:rPr>
        <w:t>ї міської ради від 08.04.2015 №</w:t>
      </w:r>
      <w:r w:rsidR="00BD227F">
        <w:rPr>
          <w:b/>
          <w:sz w:val="28"/>
          <w:szCs w:val="28"/>
          <w:lang w:val="uk-UA"/>
        </w:rPr>
        <w:t xml:space="preserve">261 </w:t>
      </w:r>
      <w:r>
        <w:rPr>
          <w:b/>
          <w:sz w:val="28"/>
          <w:szCs w:val="28"/>
          <w:lang w:val="uk-UA"/>
        </w:rPr>
        <w:t xml:space="preserve">«Про встановлення ТОВ «Керуюча Компанія «ДОМКОМ НІКОПОЛЬ» тарифів на послуги з утримання будинків і споруд та прибудинкових територій» </w:t>
      </w:r>
      <w:r w:rsidRPr="00C82261">
        <w:rPr>
          <w:b/>
          <w:sz w:val="28"/>
          <w:szCs w:val="28"/>
          <w:lang w:val="uk-UA"/>
        </w:rPr>
        <w:t xml:space="preserve"> </w:t>
      </w:r>
    </w:p>
    <w:p w:rsidR="008405A5" w:rsidRDefault="008405A5" w:rsidP="008405A5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</w:p>
    <w:p w:rsidR="008405A5" w:rsidRPr="00C82261" w:rsidRDefault="008405A5" w:rsidP="008405A5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278"/>
        <w:gridCol w:w="7041"/>
      </w:tblGrid>
      <w:tr w:rsidR="008405A5" w:rsidRPr="00BE2F7D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E2F7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E2F7D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8"/>
                <w:szCs w:val="28"/>
                <w:lang w:val="uk-UA"/>
              </w:rPr>
            </w:pPr>
            <w:r w:rsidRPr="00BE2F7D">
              <w:rPr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8405A5" w:rsidRPr="00FA06A5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Вид та назва регуляторного акта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8405A5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BE2F7D">
              <w:rPr>
                <w:sz w:val="28"/>
                <w:szCs w:val="28"/>
                <w:lang w:val="uk-UA"/>
              </w:rPr>
              <w:t>ішення виконавчого комітету</w:t>
            </w:r>
            <w:r w:rsidR="00BD227F">
              <w:rPr>
                <w:sz w:val="28"/>
                <w:szCs w:val="28"/>
                <w:lang w:val="uk-UA"/>
              </w:rPr>
              <w:t xml:space="preserve"> Нікопольсько</w:t>
            </w:r>
            <w:r w:rsidR="00C322DD">
              <w:rPr>
                <w:sz w:val="28"/>
                <w:szCs w:val="28"/>
                <w:lang w:val="uk-UA"/>
              </w:rPr>
              <w:t>ї міської ради від 08.04.2015 №</w:t>
            </w:r>
            <w:r w:rsidR="00BD227F">
              <w:rPr>
                <w:sz w:val="28"/>
                <w:szCs w:val="28"/>
                <w:lang w:val="uk-UA"/>
              </w:rPr>
              <w:t>261</w:t>
            </w:r>
            <w:r w:rsidRPr="00BE2F7D">
              <w:rPr>
                <w:sz w:val="28"/>
                <w:szCs w:val="28"/>
                <w:lang w:val="uk-UA"/>
              </w:rPr>
              <w:t xml:space="preserve"> «Про встановлення</w:t>
            </w:r>
            <w:r>
              <w:rPr>
                <w:sz w:val="28"/>
                <w:szCs w:val="28"/>
                <w:lang w:val="uk-UA"/>
              </w:rPr>
              <w:t xml:space="preserve"> ТОВ «Керуюча Компанія «ДОМКОМ НІКОПОЛЬ» тарифів</w:t>
            </w:r>
            <w:r w:rsidRPr="00BE2F7D">
              <w:rPr>
                <w:sz w:val="28"/>
                <w:szCs w:val="28"/>
                <w:lang w:val="uk-UA"/>
              </w:rPr>
              <w:t xml:space="preserve"> на послуги з</w:t>
            </w:r>
            <w:r>
              <w:rPr>
                <w:sz w:val="28"/>
                <w:szCs w:val="28"/>
                <w:lang w:val="uk-UA"/>
              </w:rPr>
              <w:t xml:space="preserve"> утримання будинків і споруд та прибудинкових територій</w:t>
            </w:r>
            <w:r w:rsidRPr="00BE2F7D">
              <w:rPr>
                <w:sz w:val="28"/>
                <w:szCs w:val="28"/>
                <w:lang w:val="uk-UA"/>
              </w:rPr>
              <w:t>»</w:t>
            </w:r>
          </w:p>
        </w:tc>
      </w:tr>
      <w:tr w:rsidR="008405A5" w:rsidRPr="00FA06A5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BD227F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«Керуюча Компанія «ДОМКОМ НІКОПОЛЬ», в</w:t>
            </w:r>
            <w:r w:rsidR="008405A5" w:rsidRPr="00BE2F7D">
              <w:rPr>
                <w:sz w:val="28"/>
                <w:szCs w:val="28"/>
                <w:lang w:val="uk-UA"/>
              </w:rPr>
              <w:t>ідділ економіки комунальних</w:t>
            </w:r>
            <w:r>
              <w:rPr>
                <w:sz w:val="28"/>
                <w:szCs w:val="28"/>
                <w:lang w:val="uk-UA"/>
              </w:rPr>
              <w:t xml:space="preserve"> підприємств та бюджетної сфери</w:t>
            </w:r>
          </w:p>
        </w:tc>
      </w:tr>
      <w:tr w:rsidR="008405A5" w:rsidRPr="00E22DF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Ціль прийняття акта</w:t>
            </w:r>
          </w:p>
        </w:tc>
        <w:tc>
          <w:tcPr>
            <w:tcW w:w="6361" w:type="dxa"/>
            <w:shd w:val="clear" w:color="auto" w:fill="auto"/>
          </w:tcPr>
          <w:p w:rsidR="00E22DF9" w:rsidRPr="00E22DF9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E22DF9">
              <w:rPr>
                <w:sz w:val="28"/>
                <w:lang w:val="uk-UA"/>
              </w:rPr>
              <w:t xml:space="preserve">   -  Встановлення тарифів на послуги з утримання будинків і споруд та прибудинкових територій на рівні економічно - обґрунтованих витрат, що дозволить подолати збитковість надання послуг, покращити якість обслуговування населення та розширити перелік послуг.</w:t>
            </w:r>
          </w:p>
          <w:p w:rsidR="008405A5" w:rsidRPr="00BD227F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E22DF9">
              <w:rPr>
                <w:sz w:val="28"/>
                <w:lang w:val="uk-UA"/>
              </w:rPr>
              <w:t xml:space="preserve">   - Надання якісних послуг споживачам, що забезпечить підтримання в належному технічному стані житлового фонду міста, гарантованого обслуговування та ремонту житлового фонду, його технічного обладнання, дотримання санітарного стану прибудинкових територій для створення мешканцям будинків належних умов проживання             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Строк виконання заходів з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EE59CC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05.04.2016</w:t>
            </w:r>
            <w:r w:rsidR="00BD227F">
              <w:rPr>
                <w:sz w:val="28"/>
                <w:szCs w:val="28"/>
                <w:lang w:val="uk-UA"/>
              </w:rPr>
              <w:t>-</w:t>
            </w:r>
            <w:r w:rsidR="00FA06A5">
              <w:rPr>
                <w:sz w:val="28"/>
                <w:szCs w:val="28"/>
                <w:lang w:val="uk-UA"/>
              </w:rPr>
              <w:t>28</w:t>
            </w:r>
            <w:r>
              <w:rPr>
                <w:sz w:val="28"/>
                <w:szCs w:val="28"/>
                <w:lang w:val="uk-UA"/>
              </w:rPr>
              <w:t>.04.2016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Тип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EE59CC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Повторне</w:t>
            </w:r>
            <w:r w:rsidR="008405A5" w:rsidRPr="00BE2F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405A5" w:rsidRPr="00BE2F7D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</w:rPr>
            </w:pPr>
            <w:r w:rsidRPr="00E22DF9">
              <w:rPr>
                <w:sz w:val="28"/>
                <w:szCs w:val="28"/>
                <w:lang w:val="uk-UA"/>
              </w:rPr>
              <w:t>Для пр</w:t>
            </w:r>
            <w:r>
              <w:rPr>
                <w:sz w:val="28"/>
                <w:szCs w:val="28"/>
                <w:lang w:val="uk-UA"/>
              </w:rPr>
              <w:t xml:space="preserve">оведення повторного відстеження </w:t>
            </w:r>
            <w:r w:rsidRPr="00E22DF9">
              <w:rPr>
                <w:sz w:val="28"/>
                <w:szCs w:val="28"/>
                <w:lang w:val="uk-UA"/>
              </w:rPr>
              <w:t>використані статистичні дані підприємства</w:t>
            </w:r>
          </w:p>
        </w:tc>
      </w:tr>
      <w:tr w:rsidR="008405A5" w:rsidRPr="00686255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Дані та припущення, на основі яких відстежувалась регуляторного акта, та способи їх одержання</w:t>
            </w:r>
          </w:p>
        </w:tc>
        <w:tc>
          <w:tcPr>
            <w:tcW w:w="6361" w:type="dxa"/>
            <w:shd w:val="clear" w:color="auto" w:fill="auto"/>
          </w:tcPr>
          <w:p w:rsidR="00E22DF9" w:rsidRPr="00E22DF9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E22DF9">
              <w:rPr>
                <w:sz w:val="28"/>
                <w:lang w:val="uk-UA"/>
              </w:rPr>
              <w:t>Результативність цього регуляторного акта була визначена на підставі аналізу статистичних даних, які обліковуються підприємством:</w:t>
            </w:r>
          </w:p>
          <w:p w:rsidR="00E22DF9" w:rsidRPr="00E22DF9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E22DF9">
              <w:rPr>
                <w:sz w:val="28"/>
                <w:lang w:val="uk-UA"/>
              </w:rPr>
              <w:t>- кількість споживачів, яким надаються послуги з утримання будинків і споруд та прибудинкових територій;</w:t>
            </w:r>
          </w:p>
          <w:p w:rsidR="00E22DF9" w:rsidRPr="00E22DF9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E22DF9">
              <w:rPr>
                <w:sz w:val="28"/>
                <w:lang w:val="uk-UA"/>
              </w:rPr>
              <w:t>- перелік та обсяги надання послуг;</w:t>
            </w:r>
          </w:p>
          <w:p w:rsidR="00E22DF9" w:rsidRPr="00E22DF9" w:rsidRDefault="00E22DF9" w:rsidP="001F6C10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E22DF9">
              <w:rPr>
                <w:sz w:val="28"/>
                <w:lang w:val="uk-UA"/>
              </w:rPr>
              <w:t>- надходження до бюджетів усіх рівнів;</w:t>
            </w:r>
          </w:p>
          <w:p w:rsidR="00F359DC" w:rsidRPr="00F359DC" w:rsidRDefault="00E22DF9" w:rsidP="001F6C10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22DF9">
              <w:rPr>
                <w:sz w:val="28"/>
                <w:lang w:val="uk-UA"/>
              </w:rPr>
              <w:t>- аналіз фінансово-господарської діяльності підприємства</w:t>
            </w:r>
          </w:p>
        </w:tc>
      </w:tr>
      <w:tr w:rsidR="008405A5" w:rsidRPr="00826DB3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361" w:type="dxa"/>
            <w:shd w:val="clear" w:color="auto" w:fill="auto"/>
          </w:tcPr>
          <w:p w:rsidR="00E22DF9" w:rsidRPr="00E22DF9" w:rsidRDefault="00E22DF9" w:rsidP="00E22DF9">
            <w:pPr>
              <w:shd w:val="clear" w:color="auto" w:fill="FFFFFF"/>
              <w:spacing w:line="277" w:lineRule="atLeast"/>
              <w:ind w:firstLine="567"/>
              <w:textAlignment w:val="baseline"/>
              <w:rPr>
                <w:sz w:val="28"/>
                <w:lang w:val="uk-UA"/>
              </w:rPr>
            </w:pPr>
            <w:r w:rsidRPr="00E22DF9">
              <w:rPr>
                <w:sz w:val="28"/>
                <w:lang w:val="uk-UA"/>
              </w:rPr>
              <w:t>Для відстеження результативності  регуляторного акта використані наступні  показники: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1570"/>
              <w:gridCol w:w="1570"/>
              <w:gridCol w:w="1606"/>
            </w:tblGrid>
            <w:tr w:rsidR="00E22DF9" w:rsidTr="0012707A">
              <w:tc>
                <w:tcPr>
                  <w:tcW w:w="2069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>Показник</w:t>
                  </w:r>
                </w:p>
              </w:tc>
              <w:tc>
                <w:tcPr>
                  <w:tcW w:w="1570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>01.05.2015-30.09.2015</w:t>
                  </w:r>
                </w:p>
              </w:tc>
              <w:tc>
                <w:tcPr>
                  <w:tcW w:w="1570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>01.05.2015-29.02.2016</w:t>
                  </w:r>
                </w:p>
              </w:tc>
              <w:tc>
                <w:tcPr>
                  <w:tcW w:w="1606" w:type="dxa"/>
                </w:tcPr>
                <w:p w:rsidR="00E22DF9" w:rsidRP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>Відхилення</w:t>
                  </w:r>
                </w:p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</w:p>
              </w:tc>
            </w:tr>
            <w:tr w:rsidR="00E22DF9" w:rsidTr="00BE5064">
              <w:tc>
                <w:tcPr>
                  <w:tcW w:w="2069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>рівень оплати послуг споживачами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75,6%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84,2%</w:t>
                  </w:r>
                </w:p>
              </w:tc>
              <w:tc>
                <w:tcPr>
                  <w:tcW w:w="1606" w:type="dxa"/>
                  <w:vAlign w:val="center"/>
                </w:tcPr>
                <w:p w:rsidR="00E22DF9" w:rsidRDefault="00487942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+8,6</w:t>
                  </w:r>
                </w:p>
              </w:tc>
            </w:tr>
            <w:tr w:rsidR="00E22DF9" w:rsidTr="00BE5064">
              <w:tc>
                <w:tcPr>
                  <w:tcW w:w="2069" w:type="dxa"/>
                </w:tcPr>
                <w:p w:rsidR="00E22DF9" w:rsidRDefault="0012707A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кількість звернень (скарг) споживачів щодо якості та кількості послуг, що надаються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1156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898</w:t>
                  </w:r>
                </w:p>
              </w:tc>
              <w:tc>
                <w:tcPr>
                  <w:tcW w:w="1606" w:type="dxa"/>
                  <w:vAlign w:val="center"/>
                </w:tcPr>
                <w:p w:rsidR="00E22DF9" w:rsidRDefault="00487942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-258</w:t>
                  </w:r>
                </w:p>
              </w:tc>
            </w:tr>
            <w:tr w:rsidR="00E22DF9" w:rsidTr="00BE5064">
              <w:tc>
                <w:tcPr>
                  <w:tcW w:w="2069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 xml:space="preserve">кількість аварійних ситуацій (виїздів </w:t>
                  </w:r>
                  <w:proofErr w:type="spellStart"/>
                  <w:r w:rsidRPr="00E22DF9">
                    <w:rPr>
                      <w:sz w:val="28"/>
                      <w:lang w:val="uk-UA"/>
                    </w:rPr>
                    <w:t>аварійно-</w:t>
                  </w:r>
                  <w:proofErr w:type="spellEnd"/>
                  <w:r w:rsidRPr="00E22DF9">
                    <w:rPr>
                      <w:sz w:val="28"/>
                      <w:lang w:val="uk-UA"/>
                    </w:rPr>
                    <w:t xml:space="preserve"> ремонтної служби)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4296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4678</w:t>
                  </w:r>
                </w:p>
              </w:tc>
              <w:tc>
                <w:tcPr>
                  <w:tcW w:w="1606" w:type="dxa"/>
                  <w:vAlign w:val="center"/>
                </w:tcPr>
                <w:p w:rsidR="00E22DF9" w:rsidRDefault="00487942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+382</w:t>
                  </w:r>
                </w:p>
              </w:tc>
            </w:tr>
            <w:tr w:rsidR="00E22DF9" w:rsidTr="00BE5064">
              <w:tc>
                <w:tcPr>
                  <w:tcW w:w="2069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 xml:space="preserve">розмір сплачених коштів у вигляді податків та зборів, </w:t>
                  </w:r>
                  <w:proofErr w:type="spellStart"/>
                  <w:r w:rsidRPr="00E22DF9">
                    <w:rPr>
                      <w:sz w:val="28"/>
                      <w:lang w:val="uk-UA"/>
                    </w:rPr>
                    <w:t>тис.грн</w:t>
                  </w:r>
                  <w:proofErr w:type="spellEnd"/>
                  <w:r w:rsidRPr="00E22DF9">
                    <w:rPr>
                      <w:sz w:val="28"/>
                      <w:lang w:val="uk-UA"/>
                    </w:rPr>
                    <w:t>.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1012</w:t>
                  </w:r>
                  <w:r>
                    <w:rPr>
                      <w:sz w:val="28"/>
                      <w:lang w:val="uk-UA"/>
                    </w:rPr>
                    <w:t>,7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1351</w:t>
                  </w:r>
                  <w:r>
                    <w:rPr>
                      <w:sz w:val="28"/>
                      <w:lang w:val="uk-UA"/>
                    </w:rPr>
                    <w:t>,1</w:t>
                  </w:r>
                </w:p>
              </w:tc>
              <w:tc>
                <w:tcPr>
                  <w:tcW w:w="1606" w:type="dxa"/>
                  <w:vAlign w:val="center"/>
                </w:tcPr>
                <w:p w:rsidR="00E22DF9" w:rsidRDefault="00487942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+338,4</w:t>
                  </w:r>
                </w:p>
              </w:tc>
            </w:tr>
            <w:tr w:rsidR="00E22DF9" w:rsidTr="00BE5064">
              <w:tc>
                <w:tcPr>
                  <w:tcW w:w="2069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 xml:space="preserve">розмір дебіторської заборгованості, </w:t>
                  </w:r>
                  <w:proofErr w:type="spellStart"/>
                  <w:r w:rsidRPr="00E22DF9">
                    <w:rPr>
                      <w:sz w:val="28"/>
                      <w:lang w:val="uk-UA"/>
                    </w:rPr>
                    <w:t>тис.грн</w:t>
                  </w:r>
                  <w:proofErr w:type="spellEnd"/>
                  <w:r w:rsidRPr="00E22DF9">
                    <w:rPr>
                      <w:sz w:val="28"/>
                      <w:lang w:val="uk-UA"/>
                    </w:rPr>
                    <w:t>.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2995</w:t>
                  </w:r>
                  <w:r>
                    <w:rPr>
                      <w:sz w:val="28"/>
                      <w:lang w:val="uk-UA"/>
                    </w:rPr>
                    <w:t>,5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3380</w:t>
                  </w:r>
                  <w:r>
                    <w:rPr>
                      <w:sz w:val="28"/>
                      <w:lang w:val="uk-UA"/>
                    </w:rPr>
                    <w:t>,3</w:t>
                  </w:r>
                </w:p>
              </w:tc>
              <w:tc>
                <w:tcPr>
                  <w:tcW w:w="1606" w:type="dxa"/>
                  <w:vAlign w:val="center"/>
                </w:tcPr>
                <w:p w:rsidR="00E22DF9" w:rsidRDefault="00D90CE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+384,8</w:t>
                  </w:r>
                </w:p>
              </w:tc>
            </w:tr>
            <w:tr w:rsidR="00E22DF9" w:rsidTr="00BE5064">
              <w:tc>
                <w:tcPr>
                  <w:tcW w:w="2069" w:type="dxa"/>
                </w:tcPr>
                <w:p w:rsidR="00E22DF9" w:rsidRDefault="00E22DF9" w:rsidP="00E22DF9">
                  <w:pPr>
                    <w:spacing w:line="277" w:lineRule="atLeast"/>
                    <w:textAlignment w:val="baseline"/>
                    <w:rPr>
                      <w:sz w:val="28"/>
                      <w:lang w:val="uk-UA"/>
                    </w:rPr>
                  </w:pPr>
                  <w:r w:rsidRPr="00E22DF9">
                    <w:rPr>
                      <w:sz w:val="28"/>
                      <w:lang w:val="uk-UA"/>
                    </w:rPr>
                    <w:t xml:space="preserve">розмір кредиторської заборгованості, </w:t>
                  </w:r>
                  <w:proofErr w:type="spellStart"/>
                  <w:r w:rsidRPr="00E22DF9">
                    <w:rPr>
                      <w:sz w:val="28"/>
                      <w:lang w:val="uk-UA"/>
                    </w:rPr>
                    <w:t>тис.грн</w:t>
                  </w:r>
                  <w:proofErr w:type="spellEnd"/>
                  <w:r w:rsidRPr="00E22DF9">
                    <w:rPr>
                      <w:sz w:val="28"/>
                      <w:lang w:val="uk-UA"/>
                    </w:rPr>
                    <w:t>.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478</w:t>
                  </w:r>
                  <w:r>
                    <w:rPr>
                      <w:sz w:val="28"/>
                      <w:lang w:val="uk-UA"/>
                    </w:rPr>
                    <w:t>,6</w:t>
                  </w:r>
                </w:p>
              </w:tc>
              <w:tc>
                <w:tcPr>
                  <w:tcW w:w="1570" w:type="dxa"/>
                  <w:vAlign w:val="center"/>
                </w:tcPr>
                <w:p w:rsidR="00E22DF9" w:rsidRDefault="0012707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 w:rsidRPr="0012707A">
                    <w:rPr>
                      <w:sz w:val="28"/>
                      <w:lang w:val="uk-UA"/>
                    </w:rPr>
                    <w:t>659</w:t>
                  </w:r>
                  <w:r>
                    <w:rPr>
                      <w:sz w:val="28"/>
                      <w:lang w:val="uk-UA"/>
                    </w:rPr>
                    <w:t>,3</w:t>
                  </w:r>
                </w:p>
              </w:tc>
              <w:tc>
                <w:tcPr>
                  <w:tcW w:w="1606" w:type="dxa"/>
                  <w:vAlign w:val="center"/>
                </w:tcPr>
                <w:p w:rsidR="00E22DF9" w:rsidRDefault="00D90CEA" w:rsidP="00BE5064">
                  <w:pPr>
                    <w:spacing w:line="277" w:lineRule="atLeast"/>
                    <w:jc w:val="center"/>
                    <w:textAlignment w:val="baseline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+180,7</w:t>
                  </w:r>
                </w:p>
              </w:tc>
            </w:tr>
          </w:tbl>
          <w:p w:rsidR="008405A5" w:rsidRPr="00F359DC" w:rsidRDefault="008405A5" w:rsidP="00436A0E">
            <w:pPr>
              <w:ind w:firstLine="567"/>
              <w:rPr>
                <w:sz w:val="28"/>
                <w:szCs w:val="28"/>
                <w:lang w:val="uk-UA"/>
              </w:rPr>
            </w:pPr>
            <w:r w:rsidRPr="00F359DC">
              <w:rPr>
                <w:sz w:val="28"/>
                <w:szCs w:val="28"/>
                <w:lang w:val="uk-UA"/>
              </w:rPr>
              <w:tab/>
            </w:r>
          </w:p>
        </w:tc>
      </w:tr>
      <w:tr w:rsidR="008405A5" w:rsidRPr="00BE2F7D" w:rsidTr="00436A0E">
        <w:trPr>
          <w:trHeight w:val="1352"/>
        </w:trPr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C3204F">
              <w:rPr>
                <w:sz w:val="28"/>
                <w:szCs w:val="28"/>
                <w:lang w:val="uk-UA"/>
              </w:rPr>
              <w:t xml:space="preserve">Оцінка результатів реалізації регуляторного акта </w:t>
            </w:r>
          </w:p>
        </w:tc>
        <w:tc>
          <w:tcPr>
            <w:tcW w:w="6361" w:type="dxa"/>
            <w:shd w:val="clear" w:color="auto" w:fill="auto"/>
          </w:tcPr>
          <w:p w:rsidR="00BE5064" w:rsidRPr="00BE5064" w:rsidRDefault="00DC3636" w:rsidP="007276FF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</w:t>
            </w:r>
            <w:r w:rsidR="007276FF">
              <w:rPr>
                <w:sz w:val="28"/>
                <w:lang w:val="uk-UA"/>
              </w:rPr>
              <w:t xml:space="preserve"> </w:t>
            </w:r>
            <w:r w:rsidR="00BE5064" w:rsidRPr="00BE5064">
              <w:rPr>
                <w:sz w:val="28"/>
                <w:lang w:val="uk-UA"/>
              </w:rPr>
              <w:t xml:space="preserve">Станом на 01.04.2016 </w:t>
            </w:r>
            <w:r w:rsidR="007276FF" w:rsidRPr="007276FF">
              <w:rPr>
                <w:sz w:val="28"/>
                <w:lang w:val="uk-UA"/>
              </w:rPr>
              <w:t>ТОВ «Керуюча Компанія «ДОМКОМ НІКОПОЛЬ»</w:t>
            </w:r>
            <w:r w:rsidR="00BE5064" w:rsidRPr="00BE5064">
              <w:rPr>
                <w:sz w:val="28"/>
                <w:lang w:val="uk-UA"/>
              </w:rPr>
              <w:t xml:space="preserve"> обслуговує </w:t>
            </w:r>
            <w:r w:rsidR="00FA06A5">
              <w:rPr>
                <w:sz w:val="28"/>
                <w:lang w:val="uk-UA"/>
              </w:rPr>
              <w:t>314</w:t>
            </w:r>
            <w:r w:rsidR="00BE5064" w:rsidRPr="00BE5064">
              <w:rPr>
                <w:sz w:val="28"/>
                <w:lang w:val="uk-UA"/>
              </w:rPr>
              <w:t xml:space="preserve"> будинків комунальної власності, по кожному з яких встановлено окремий тариф.</w:t>
            </w:r>
          </w:p>
          <w:p w:rsidR="00BE5064" w:rsidRPr="00BE5064" w:rsidRDefault="00BE5064" w:rsidP="007276FF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BE5064">
              <w:rPr>
                <w:sz w:val="28"/>
                <w:lang w:val="uk-UA"/>
              </w:rPr>
              <w:t xml:space="preserve">        Послуги по утриманню будинків і споруд та прибудинкових територій здійснюються згідно переліку та встановленою періодичністю, тому рівень оплати послуг споживачами </w:t>
            </w:r>
            <w:r w:rsidR="007276FF">
              <w:rPr>
                <w:sz w:val="28"/>
                <w:lang w:val="uk-UA"/>
              </w:rPr>
              <w:t xml:space="preserve">доволі </w:t>
            </w:r>
            <w:r w:rsidRPr="00BE5064">
              <w:rPr>
                <w:sz w:val="28"/>
                <w:lang w:val="uk-UA"/>
              </w:rPr>
              <w:t xml:space="preserve">високий, складає </w:t>
            </w:r>
            <w:r w:rsidR="007276FF">
              <w:rPr>
                <w:sz w:val="28"/>
                <w:lang w:val="uk-UA"/>
              </w:rPr>
              <w:t>84,2</w:t>
            </w:r>
            <w:r w:rsidRPr="00BE5064">
              <w:rPr>
                <w:sz w:val="28"/>
                <w:lang w:val="uk-UA"/>
              </w:rPr>
              <w:t xml:space="preserve">% (підвищився на </w:t>
            </w:r>
            <w:r w:rsidR="007276FF">
              <w:rPr>
                <w:sz w:val="28"/>
                <w:lang w:val="uk-UA"/>
              </w:rPr>
              <w:t>8,</w:t>
            </w:r>
            <w:r w:rsidRPr="00BE5064">
              <w:rPr>
                <w:sz w:val="28"/>
                <w:lang w:val="uk-UA"/>
              </w:rPr>
              <w:t>6% в порівняні з базовим періодом відстеження).</w:t>
            </w:r>
          </w:p>
          <w:p w:rsidR="00BE5064" w:rsidRDefault="00BE5064" w:rsidP="007276FF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BE5064">
              <w:rPr>
                <w:sz w:val="28"/>
                <w:lang w:val="uk-UA"/>
              </w:rPr>
              <w:lastRenderedPageBreak/>
              <w:t xml:space="preserve">         У зв’язку з великою зношеністю житлового фонду збільшилась кількість виїздів аварійно-ремонтної служби на </w:t>
            </w:r>
            <w:r w:rsidR="007276FF">
              <w:rPr>
                <w:sz w:val="28"/>
                <w:lang w:val="uk-UA"/>
              </w:rPr>
              <w:t>382</w:t>
            </w:r>
            <w:r w:rsidRPr="00BE5064">
              <w:rPr>
                <w:sz w:val="28"/>
                <w:lang w:val="uk-UA"/>
              </w:rPr>
              <w:t>, що характеризує спроможність підприємства швидко реагувати та ліквідувати аварійні ситуації, та своєчасно надавати житлово-комунальні послуги і заходи щодо збереження житлового фонду.</w:t>
            </w:r>
          </w:p>
          <w:p w:rsidR="001F6C10" w:rsidRPr="00BE5064" w:rsidRDefault="001F6C10" w:rsidP="007276FF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Зменшилась кількість звернень</w:t>
            </w:r>
            <w:r w:rsidRPr="001F6C10">
              <w:rPr>
                <w:lang w:val="uk-UA"/>
              </w:rPr>
              <w:t xml:space="preserve"> </w:t>
            </w:r>
            <w:r w:rsidRPr="001F6C10">
              <w:rPr>
                <w:sz w:val="28"/>
                <w:lang w:val="uk-UA"/>
              </w:rPr>
              <w:t>щодо якості та кількості послуг</w:t>
            </w:r>
            <w:r>
              <w:rPr>
                <w:sz w:val="28"/>
                <w:lang w:val="uk-UA"/>
              </w:rPr>
              <w:t xml:space="preserve"> на </w:t>
            </w:r>
            <w:r w:rsidRPr="001F6C10">
              <w:rPr>
                <w:sz w:val="28"/>
                <w:lang w:val="uk-UA"/>
              </w:rPr>
              <w:t>258</w:t>
            </w:r>
            <w:r w:rsidRPr="001F6C10">
              <w:rPr>
                <w:lang w:val="uk-UA"/>
              </w:rPr>
              <w:t xml:space="preserve"> </w:t>
            </w:r>
            <w:r w:rsidRPr="001F6C10">
              <w:rPr>
                <w:sz w:val="28"/>
                <w:lang w:val="uk-UA"/>
              </w:rPr>
              <w:t>в порівняні з базовим періодом відстеження</w:t>
            </w:r>
            <w:r>
              <w:rPr>
                <w:sz w:val="28"/>
                <w:lang w:val="uk-UA"/>
              </w:rPr>
              <w:t>.</w:t>
            </w:r>
          </w:p>
          <w:p w:rsidR="00BE5064" w:rsidRPr="00BE5064" w:rsidRDefault="00BE5064" w:rsidP="007276FF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BE5064">
              <w:rPr>
                <w:sz w:val="28"/>
                <w:lang w:val="uk-UA"/>
              </w:rPr>
              <w:t xml:space="preserve">         Встановлений економічно-обґрунтований тариф дозволив </w:t>
            </w:r>
            <w:r w:rsidR="007276FF" w:rsidRPr="007276FF">
              <w:rPr>
                <w:sz w:val="28"/>
                <w:lang w:val="uk-UA"/>
              </w:rPr>
              <w:t>ТОВ «Керуюча Компанія «ДОМКОМ НІКОПОЛЬ»</w:t>
            </w:r>
            <w:r w:rsidR="007276FF">
              <w:rPr>
                <w:sz w:val="28"/>
                <w:lang w:val="uk-UA"/>
              </w:rPr>
              <w:t xml:space="preserve"> </w:t>
            </w:r>
            <w:r w:rsidRPr="00BE5064">
              <w:rPr>
                <w:sz w:val="28"/>
                <w:lang w:val="uk-UA"/>
              </w:rPr>
              <w:t>надавати своєчасно якісні послуги, забезпечити беззбиткове функціонування підприємства, своєчасно виплачувати заробітну плату працівникам, податки та збори до бюджетів всіх рівнів та утримувати житловий фонд у належному стані.</w:t>
            </w:r>
          </w:p>
          <w:p w:rsidR="00D71419" w:rsidRPr="00EE59CC" w:rsidRDefault="00BE5064" w:rsidP="00CC0AC7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lang w:val="uk-UA"/>
              </w:rPr>
            </w:pPr>
            <w:r w:rsidRPr="00BE5064">
              <w:rPr>
                <w:sz w:val="28"/>
                <w:lang w:val="uk-UA"/>
              </w:rPr>
              <w:t xml:space="preserve">         Таким чином, даний регуляторний акт-рішення не потребує змін та доповнень.</w:t>
            </w:r>
          </w:p>
        </w:tc>
      </w:tr>
    </w:tbl>
    <w:p w:rsidR="008405A5" w:rsidRDefault="008405A5" w:rsidP="008405A5">
      <w:pPr>
        <w:tabs>
          <w:tab w:val="left" w:pos="3135"/>
          <w:tab w:val="left" w:pos="6720"/>
        </w:tabs>
        <w:ind w:firstLine="180"/>
        <w:jc w:val="both"/>
        <w:rPr>
          <w:sz w:val="28"/>
          <w:szCs w:val="28"/>
          <w:lang w:val="uk-UA"/>
        </w:rPr>
      </w:pPr>
    </w:p>
    <w:p w:rsidR="00DC3636" w:rsidRDefault="00DC3636" w:rsidP="008405A5">
      <w:pPr>
        <w:tabs>
          <w:tab w:val="left" w:pos="3135"/>
          <w:tab w:val="left" w:pos="6720"/>
        </w:tabs>
        <w:ind w:firstLine="180"/>
        <w:jc w:val="both"/>
        <w:rPr>
          <w:sz w:val="28"/>
          <w:szCs w:val="28"/>
          <w:lang w:val="uk-UA"/>
        </w:rPr>
      </w:pPr>
    </w:p>
    <w:p w:rsidR="00FA06A5" w:rsidRDefault="00FA06A5" w:rsidP="009F3B4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н</w:t>
      </w:r>
      <w:r w:rsidR="009F3B4C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9F3B4C">
        <w:rPr>
          <w:sz w:val="28"/>
          <w:szCs w:val="28"/>
          <w:lang w:val="uk-UA"/>
        </w:rPr>
        <w:t xml:space="preserve"> управління </w:t>
      </w:r>
    </w:p>
    <w:p w:rsidR="009F3B4C" w:rsidRDefault="009F3B4C" w:rsidP="009F3B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економічної політики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A06A5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ab/>
      </w:r>
      <w:r w:rsidR="00FA06A5">
        <w:rPr>
          <w:sz w:val="28"/>
          <w:szCs w:val="28"/>
          <w:lang w:val="uk-UA"/>
        </w:rPr>
        <w:t>Н.Н. Дударчук</w:t>
      </w:r>
      <w:bookmarkStart w:id="0" w:name="_GoBack"/>
      <w:bookmarkEnd w:id="0"/>
    </w:p>
    <w:p w:rsidR="00584123" w:rsidRPr="009F3B4C" w:rsidRDefault="00584123">
      <w:pPr>
        <w:rPr>
          <w:lang w:val="uk-UA"/>
        </w:rPr>
      </w:pPr>
    </w:p>
    <w:sectPr w:rsidR="00584123" w:rsidRPr="009F3B4C" w:rsidSect="006F1994">
      <w:pgSz w:w="11906" w:h="16838" w:code="9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A5"/>
    <w:rsid w:val="000D433D"/>
    <w:rsid w:val="0012707A"/>
    <w:rsid w:val="001D243D"/>
    <w:rsid w:val="001F6AB1"/>
    <w:rsid w:val="001F6C10"/>
    <w:rsid w:val="002F1ABB"/>
    <w:rsid w:val="003B7A24"/>
    <w:rsid w:val="00403CBB"/>
    <w:rsid w:val="00436A0E"/>
    <w:rsid w:val="00487942"/>
    <w:rsid w:val="00584123"/>
    <w:rsid w:val="00686255"/>
    <w:rsid w:val="007276FF"/>
    <w:rsid w:val="00826DB3"/>
    <w:rsid w:val="008405A5"/>
    <w:rsid w:val="008E38C0"/>
    <w:rsid w:val="009F3B4C"/>
    <w:rsid w:val="00A17CD6"/>
    <w:rsid w:val="00A42E18"/>
    <w:rsid w:val="00A67A91"/>
    <w:rsid w:val="00A75197"/>
    <w:rsid w:val="00AB3142"/>
    <w:rsid w:val="00AF3423"/>
    <w:rsid w:val="00B66B89"/>
    <w:rsid w:val="00BD227F"/>
    <w:rsid w:val="00BE5064"/>
    <w:rsid w:val="00C322DD"/>
    <w:rsid w:val="00C91D05"/>
    <w:rsid w:val="00C94D04"/>
    <w:rsid w:val="00CC0AC7"/>
    <w:rsid w:val="00CD7531"/>
    <w:rsid w:val="00D71419"/>
    <w:rsid w:val="00D90CEA"/>
    <w:rsid w:val="00D9100F"/>
    <w:rsid w:val="00DB326B"/>
    <w:rsid w:val="00DC3636"/>
    <w:rsid w:val="00E0092A"/>
    <w:rsid w:val="00E00FAD"/>
    <w:rsid w:val="00E2186B"/>
    <w:rsid w:val="00E22DF9"/>
    <w:rsid w:val="00EE59CC"/>
    <w:rsid w:val="00F359DC"/>
    <w:rsid w:val="00FA06A5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861F-1CCA-46D5-8407-4D49902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USER29</cp:lastModifiedBy>
  <cp:revision>12</cp:revision>
  <cp:lastPrinted>2016-04-19T06:12:00Z</cp:lastPrinted>
  <dcterms:created xsi:type="dcterms:W3CDTF">2016-04-05T09:36:00Z</dcterms:created>
  <dcterms:modified xsi:type="dcterms:W3CDTF">2016-05-05T12:01:00Z</dcterms:modified>
</cp:coreProperties>
</file>