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16" w:rsidRPr="00F8049D" w:rsidRDefault="00F81616" w:rsidP="005F1FF9">
      <w:pPr>
        <w:tabs>
          <w:tab w:val="left" w:pos="3135"/>
          <w:tab w:val="left" w:pos="6720"/>
        </w:tabs>
        <w:ind w:firstLine="540"/>
        <w:jc w:val="center"/>
        <w:rPr>
          <w:sz w:val="23"/>
          <w:szCs w:val="23"/>
          <w:lang w:val="uk-UA"/>
        </w:rPr>
      </w:pPr>
      <w:r w:rsidRPr="00F8049D">
        <w:rPr>
          <w:sz w:val="23"/>
          <w:szCs w:val="23"/>
          <w:lang w:val="uk-UA"/>
        </w:rPr>
        <w:t>Звіт про періодичне</w:t>
      </w:r>
      <w:r w:rsidR="006B6598" w:rsidRPr="00F8049D">
        <w:rPr>
          <w:sz w:val="23"/>
          <w:szCs w:val="23"/>
          <w:lang w:val="uk-UA"/>
        </w:rPr>
        <w:t xml:space="preserve"> </w:t>
      </w:r>
      <w:r w:rsidRPr="00F8049D">
        <w:rPr>
          <w:sz w:val="23"/>
          <w:szCs w:val="23"/>
          <w:lang w:val="uk-UA"/>
        </w:rPr>
        <w:t>відстеження</w:t>
      </w:r>
      <w:r w:rsidR="006B6598" w:rsidRPr="00F8049D">
        <w:rPr>
          <w:sz w:val="23"/>
          <w:szCs w:val="23"/>
          <w:lang w:val="uk-UA"/>
        </w:rPr>
        <w:t xml:space="preserve"> </w:t>
      </w:r>
      <w:r w:rsidRPr="00F8049D">
        <w:rPr>
          <w:sz w:val="23"/>
          <w:szCs w:val="23"/>
          <w:lang w:val="uk-UA"/>
        </w:rPr>
        <w:t>результативності</w:t>
      </w:r>
    </w:p>
    <w:p w:rsidR="0015390D" w:rsidRPr="00F8049D" w:rsidRDefault="006B6598" w:rsidP="003A5760">
      <w:pPr>
        <w:jc w:val="center"/>
        <w:rPr>
          <w:sz w:val="23"/>
          <w:szCs w:val="23"/>
          <w:lang w:val="uk-UA"/>
        </w:rPr>
      </w:pPr>
      <w:r w:rsidRPr="00F8049D">
        <w:rPr>
          <w:sz w:val="23"/>
          <w:szCs w:val="23"/>
          <w:lang w:val="uk-UA"/>
        </w:rPr>
        <w:t>р</w:t>
      </w:r>
      <w:r w:rsidR="00F81616" w:rsidRPr="00F8049D">
        <w:rPr>
          <w:sz w:val="23"/>
          <w:szCs w:val="23"/>
          <w:lang w:val="uk-UA"/>
        </w:rPr>
        <w:t>ішення</w:t>
      </w:r>
      <w:r w:rsidRPr="00F8049D">
        <w:rPr>
          <w:sz w:val="23"/>
          <w:szCs w:val="23"/>
          <w:lang w:val="uk-UA"/>
        </w:rPr>
        <w:t xml:space="preserve"> </w:t>
      </w:r>
      <w:r w:rsidR="00F81616" w:rsidRPr="00F8049D">
        <w:rPr>
          <w:sz w:val="23"/>
          <w:szCs w:val="23"/>
          <w:lang w:val="uk-UA"/>
        </w:rPr>
        <w:t>виконавчого</w:t>
      </w:r>
      <w:r w:rsidRPr="00F8049D">
        <w:rPr>
          <w:sz w:val="23"/>
          <w:szCs w:val="23"/>
          <w:lang w:val="uk-UA"/>
        </w:rPr>
        <w:t xml:space="preserve"> </w:t>
      </w:r>
      <w:r w:rsidR="00F81616" w:rsidRPr="00F8049D">
        <w:rPr>
          <w:sz w:val="23"/>
          <w:szCs w:val="23"/>
          <w:lang w:val="uk-UA"/>
        </w:rPr>
        <w:t>комітету</w:t>
      </w:r>
      <w:r w:rsidRPr="00F8049D">
        <w:rPr>
          <w:sz w:val="23"/>
          <w:szCs w:val="23"/>
          <w:lang w:val="uk-UA"/>
        </w:rPr>
        <w:t xml:space="preserve"> </w:t>
      </w:r>
      <w:r w:rsidR="00F81616" w:rsidRPr="00F8049D">
        <w:rPr>
          <w:sz w:val="23"/>
          <w:szCs w:val="23"/>
          <w:lang w:val="uk-UA"/>
        </w:rPr>
        <w:t>Нікопольської</w:t>
      </w:r>
      <w:r w:rsidRPr="00F8049D">
        <w:rPr>
          <w:sz w:val="23"/>
          <w:szCs w:val="23"/>
          <w:lang w:val="uk-UA"/>
        </w:rPr>
        <w:t xml:space="preserve"> </w:t>
      </w:r>
      <w:r w:rsidR="00F81616" w:rsidRPr="00F8049D">
        <w:rPr>
          <w:sz w:val="23"/>
          <w:szCs w:val="23"/>
          <w:lang w:val="uk-UA"/>
        </w:rPr>
        <w:t xml:space="preserve">міської ради </w:t>
      </w:r>
      <w:r w:rsidR="003A5760" w:rsidRPr="00F8049D">
        <w:rPr>
          <w:sz w:val="23"/>
          <w:szCs w:val="23"/>
          <w:lang w:val="uk-UA"/>
        </w:rPr>
        <w:t xml:space="preserve">від 10.10.2012 № 855 </w:t>
      </w:r>
    </w:p>
    <w:p w:rsidR="0015390D" w:rsidRPr="00F8049D" w:rsidRDefault="003A5760" w:rsidP="003A5760">
      <w:pPr>
        <w:jc w:val="center"/>
        <w:rPr>
          <w:sz w:val="23"/>
          <w:szCs w:val="23"/>
          <w:lang w:val="uk-UA"/>
        </w:rPr>
      </w:pPr>
      <w:r w:rsidRPr="00F8049D">
        <w:rPr>
          <w:sz w:val="23"/>
          <w:szCs w:val="23"/>
          <w:lang w:val="uk-UA"/>
        </w:rPr>
        <w:t>«Про встановлення цін на платні послуги, що надаються комунальним підприємством</w:t>
      </w:r>
    </w:p>
    <w:p w:rsidR="003A5760" w:rsidRPr="00F8049D" w:rsidRDefault="003A5760" w:rsidP="003A5760">
      <w:pPr>
        <w:jc w:val="center"/>
        <w:rPr>
          <w:sz w:val="23"/>
          <w:szCs w:val="23"/>
          <w:lang w:val="uk-UA"/>
        </w:rPr>
      </w:pPr>
      <w:r w:rsidRPr="00F8049D">
        <w:rPr>
          <w:sz w:val="23"/>
          <w:szCs w:val="23"/>
          <w:lang w:val="uk-UA"/>
        </w:rPr>
        <w:t xml:space="preserve"> «М</w:t>
      </w:r>
      <w:r w:rsidR="00693D90" w:rsidRPr="00F8049D">
        <w:rPr>
          <w:sz w:val="23"/>
          <w:szCs w:val="23"/>
          <w:lang w:val="uk-UA"/>
        </w:rPr>
        <w:t>ІСЬКЕ ПАРКОВЕ ГОСПОДАРСТВО</w:t>
      </w:r>
      <w:r w:rsidRPr="00F8049D">
        <w:rPr>
          <w:sz w:val="23"/>
          <w:szCs w:val="23"/>
          <w:lang w:val="uk-UA"/>
        </w:rPr>
        <w:t xml:space="preserve">» </w:t>
      </w:r>
    </w:p>
    <w:tbl>
      <w:tblPr>
        <w:tblW w:w="100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474"/>
        <w:gridCol w:w="4952"/>
      </w:tblGrid>
      <w:tr w:rsidR="00F81616" w:rsidRPr="006B6598" w:rsidTr="00057052">
        <w:tc>
          <w:tcPr>
            <w:tcW w:w="635" w:type="dxa"/>
          </w:tcPr>
          <w:p w:rsidR="00F81616" w:rsidRPr="006B6598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4474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4952" w:type="dxa"/>
          </w:tcPr>
          <w:p w:rsidR="00F81616" w:rsidRPr="006B6598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6B6598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F81616" w:rsidRPr="003927DF" w:rsidTr="00693D90">
        <w:trPr>
          <w:trHeight w:val="1369"/>
        </w:trPr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 xml:space="preserve">Вид та назва регуляторного </w:t>
            </w:r>
            <w:proofErr w:type="spellStart"/>
            <w:r w:rsidRPr="0030346C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4952" w:type="dxa"/>
          </w:tcPr>
          <w:p w:rsidR="00F81616" w:rsidRPr="0030346C" w:rsidRDefault="009A6548" w:rsidP="003927DF">
            <w:pPr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 xml:space="preserve">Рішення виконавчого комітету Нікопольської міської ради від 10.10.2012 № 855 «Про встановлення цін на платні послуги, що надаються комунальним підприємством </w:t>
            </w:r>
            <w:r w:rsidR="00693D90" w:rsidRPr="0030346C">
              <w:rPr>
                <w:sz w:val="23"/>
                <w:szCs w:val="23"/>
                <w:lang w:val="uk-UA"/>
              </w:rPr>
              <w:t xml:space="preserve"> </w:t>
            </w:r>
            <w:r w:rsidR="00693D90" w:rsidRPr="00D57977">
              <w:rPr>
                <w:sz w:val="23"/>
                <w:szCs w:val="23"/>
                <w:lang w:val="uk-UA"/>
              </w:rPr>
              <w:t>«М</w:t>
            </w:r>
            <w:r w:rsidR="00693D90">
              <w:rPr>
                <w:sz w:val="23"/>
                <w:szCs w:val="23"/>
                <w:lang w:val="uk-UA"/>
              </w:rPr>
              <w:t>ІСЬКЕ ПАРКОВЕ ГОСПОДАРСТВО</w:t>
            </w:r>
            <w:r w:rsidR="00693D90" w:rsidRPr="00D57977">
              <w:rPr>
                <w:sz w:val="23"/>
                <w:szCs w:val="23"/>
                <w:lang w:val="uk-UA"/>
              </w:rPr>
              <w:t xml:space="preserve">» </w:t>
            </w:r>
          </w:p>
        </w:tc>
      </w:tr>
      <w:tr w:rsidR="00F81616" w:rsidRPr="00F8049D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Назва виконавця заходів з відстеження</w:t>
            </w:r>
          </w:p>
        </w:tc>
        <w:tc>
          <w:tcPr>
            <w:tcW w:w="4952" w:type="dxa"/>
          </w:tcPr>
          <w:p w:rsidR="00F81616" w:rsidRPr="0030346C" w:rsidRDefault="00140332" w:rsidP="0030346C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Відділ економіки комунальних підприємств та бюджетної сфери управління економічної політики Нікопольської міської ради.</w:t>
            </w:r>
          </w:p>
        </w:tc>
      </w:tr>
      <w:tr w:rsidR="00F81616" w:rsidRPr="00F8049D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 xml:space="preserve">Ціль прийняття </w:t>
            </w:r>
            <w:proofErr w:type="spellStart"/>
            <w:r w:rsidRPr="0030346C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4952" w:type="dxa"/>
          </w:tcPr>
          <w:p w:rsidR="00F81616" w:rsidRPr="0030346C" w:rsidRDefault="00DA747F" w:rsidP="00DA747F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r w:rsidR="004D58D4" w:rsidRPr="0030346C">
              <w:rPr>
                <w:sz w:val="23"/>
                <w:szCs w:val="23"/>
                <w:lang w:val="uk-UA"/>
              </w:rPr>
              <w:t>регулювання цін на платні послуги,</w:t>
            </w:r>
            <w:r w:rsidRPr="006B6598">
              <w:rPr>
                <w:sz w:val="23"/>
                <w:szCs w:val="23"/>
                <w:lang w:val="uk-UA"/>
              </w:rPr>
              <w:t xml:space="preserve"> для споживачів  цих послуг</w:t>
            </w:r>
            <w:r w:rsidR="004D58D4" w:rsidRPr="0030346C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4D58D4" w:rsidRPr="0030346C">
              <w:rPr>
                <w:sz w:val="23"/>
                <w:szCs w:val="23"/>
                <w:lang w:val="uk-UA"/>
              </w:rPr>
              <w:t xml:space="preserve">(роботи по висадці дерев і чагарників, обстеження земельної ділянки площею до 100 </w:t>
            </w:r>
            <w:proofErr w:type="spellStart"/>
            <w:r w:rsidR="004D58D4" w:rsidRPr="0030346C">
              <w:rPr>
                <w:sz w:val="23"/>
                <w:szCs w:val="23"/>
                <w:lang w:val="uk-UA"/>
              </w:rPr>
              <w:t>кв.м</w:t>
            </w:r>
            <w:proofErr w:type="spellEnd"/>
            <w:r w:rsidR="004D58D4" w:rsidRPr="0030346C">
              <w:rPr>
                <w:sz w:val="23"/>
                <w:szCs w:val="23"/>
                <w:lang w:val="uk-UA"/>
              </w:rPr>
              <w:t>. на наявність зелених насаджень зі складанням паспорту, роботи по благоустрою декоративних композицій (клумба, рабатка, партер)</w:t>
            </w:r>
            <w:r w:rsidR="001E5970">
              <w:rPr>
                <w:sz w:val="23"/>
                <w:szCs w:val="23"/>
                <w:lang w:val="uk-UA"/>
              </w:rPr>
              <w:t>,</w:t>
            </w:r>
            <w:r w:rsidR="004D58D4" w:rsidRPr="0030346C">
              <w:rPr>
                <w:sz w:val="23"/>
                <w:szCs w:val="23"/>
                <w:lang w:val="uk-UA"/>
              </w:rPr>
              <w:t xml:space="preserve"> тощо.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Строк виконання заходів з відстеження</w:t>
            </w:r>
          </w:p>
        </w:tc>
        <w:tc>
          <w:tcPr>
            <w:tcW w:w="4952" w:type="dxa"/>
          </w:tcPr>
          <w:p w:rsidR="00F81616" w:rsidRPr="0030346C" w:rsidRDefault="00BC38AE" w:rsidP="004E5EE4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11</w:t>
            </w:r>
            <w:r w:rsidR="00F81616" w:rsidRPr="0030346C">
              <w:rPr>
                <w:sz w:val="23"/>
                <w:szCs w:val="23"/>
                <w:lang w:val="uk-UA"/>
              </w:rPr>
              <w:t>.</w:t>
            </w:r>
            <w:r w:rsidRPr="0030346C">
              <w:rPr>
                <w:sz w:val="23"/>
                <w:szCs w:val="23"/>
                <w:lang w:val="uk-UA"/>
              </w:rPr>
              <w:t>10</w:t>
            </w:r>
            <w:r w:rsidR="00F81616" w:rsidRPr="0030346C">
              <w:rPr>
                <w:sz w:val="23"/>
                <w:szCs w:val="23"/>
                <w:lang w:val="uk-UA"/>
              </w:rPr>
              <w:t>.2016-</w:t>
            </w:r>
            <w:r w:rsidR="004E5EE4">
              <w:rPr>
                <w:sz w:val="23"/>
                <w:szCs w:val="23"/>
                <w:lang w:val="uk-UA"/>
              </w:rPr>
              <w:t>31</w:t>
            </w:r>
            <w:r w:rsidR="00F81616" w:rsidRPr="0030346C">
              <w:rPr>
                <w:sz w:val="23"/>
                <w:szCs w:val="23"/>
                <w:lang w:val="uk-UA"/>
              </w:rPr>
              <w:t>.</w:t>
            </w:r>
            <w:r w:rsidRPr="0030346C">
              <w:rPr>
                <w:sz w:val="23"/>
                <w:szCs w:val="23"/>
                <w:lang w:val="uk-UA"/>
              </w:rPr>
              <w:t>10</w:t>
            </w:r>
            <w:r w:rsidR="00F81616" w:rsidRPr="0030346C">
              <w:rPr>
                <w:sz w:val="23"/>
                <w:szCs w:val="23"/>
                <w:lang w:val="uk-UA"/>
              </w:rPr>
              <w:t>.2016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4952" w:type="dxa"/>
          </w:tcPr>
          <w:p w:rsidR="00F81616" w:rsidRPr="0030346C" w:rsidRDefault="00F81616" w:rsidP="00F359D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Періодичне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4952" w:type="dxa"/>
          </w:tcPr>
          <w:p w:rsidR="00F81616" w:rsidRPr="0030346C" w:rsidRDefault="00F81616" w:rsidP="004A6A51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30346C">
              <w:rPr>
                <w:sz w:val="23"/>
                <w:szCs w:val="23"/>
                <w:lang w:val="uk-UA"/>
              </w:rPr>
              <w:t>Аналітичний метод</w:t>
            </w:r>
          </w:p>
        </w:tc>
      </w:tr>
      <w:tr w:rsidR="00F81616" w:rsidRPr="00FD1759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4474" w:type="dxa"/>
          </w:tcPr>
          <w:p w:rsidR="00F81616" w:rsidRPr="0030346C" w:rsidRDefault="00F81616" w:rsidP="005F1FF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proofErr w:type="spellStart"/>
            <w:r w:rsidRPr="0030346C">
              <w:rPr>
                <w:sz w:val="23"/>
                <w:szCs w:val="23"/>
              </w:rPr>
              <w:t>Дані</w:t>
            </w:r>
            <w:proofErr w:type="spellEnd"/>
            <w:r w:rsidR="006B6598" w:rsidRPr="0030346C">
              <w:rPr>
                <w:sz w:val="23"/>
                <w:szCs w:val="23"/>
              </w:rPr>
              <w:t xml:space="preserve"> </w:t>
            </w:r>
            <w:r w:rsidRPr="0030346C">
              <w:rPr>
                <w:sz w:val="23"/>
                <w:szCs w:val="23"/>
              </w:rPr>
              <w:t xml:space="preserve">та </w:t>
            </w:r>
            <w:proofErr w:type="spellStart"/>
            <w:r w:rsidRPr="0030346C">
              <w:rPr>
                <w:sz w:val="23"/>
                <w:szCs w:val="23"/>
              </w:rPr>
              <w:t>припущення</w:t>
            </w:r>
            <w:proofErr w:type="spellEnd"/>
            <w:r w:rsidRPr="0030346C">
              <w:rPr>
                <w:sz w:val="23"/>
                <w:szCs w:val="23"/>
              </w:rPr>
              <w:t xml:space="preserve">, на </w:t>
            </w:r>
            <w:proofErr w:type="spellStart"/>
            <w:r w:rsidRPr="0030346C">
              <w:rPr>
                <w:sz w:val="23"/>
                <w:szCs w:val="23"/>
              </w:rPr>
              <w:t>основі</w:t>
            </w:r>
            <w:proofErr w:type="spellEnd"/>
            <w:r w:rsidR="006B6598" w:rsidRPr="0030346C">
              <w:rPr>
                <w:sz w:val="23"/>
                <w:szCs w:val="23"/>
              </w:rPr>
              <w:t xml:space="preserve"> </w:t>
            </w:r>
            <w:proofErr w:type="spellStart"/>
            <w:r w:rsidRPr="0030346C">
              <w:rPr>
                <w:sz w:val="23"/>
                <w:szCs w:val="23"/>
              </w:rPr>
              <w:t>яких</w:t>
            </w:r>
            <w:proofErr w:type="spellEnd"/>
            <w:r w:rsidR="006B6598" w:rsidRPr="0030346C">
              <w:rPr>
                <w:sz w:val="23"/>
                <w:szCs w:val="23"/>
              </w:rPr>
              <w:t xml:space="preserve"> </w:t>
            </w:r>
            <w:proofErr w:type="spellStart"/>
            <w:r w:rsidRPr="0030346C">
              <w:rPr>
                <w:sz w:val="23"/>
                <w:szCs w:val="23"/>
              </w:rPr>
              <w:t>відстежувалась</w:t>
            </w:r>
            <w:proofErr w:type="spellEnd"/>
            <w:r w:rsidR="006B6598" w:rsidRPr="0030346C">
              <w:rPr>
                <w:sz w:val="23"/>
                <w:szCs w:val="23"/>
              </w:rPr>
              <w:t xml:space="preserve"> </w:t>
            </w:r>
            <w:proofErr w:type="spellStart"/>
            <w:r w:rsidRPr="0030346C">
              <w:rPr>
                <w:sz w:val="23"/>
                <w:szCs w:val="23"/>
              </w:rPr>
              <w:t>результативність</w:t>
            </w:r>
            <w:proofErr w:type="spellEnd"/>
            <w:r w:rsidRPr="0030346C">
              <w:rPr>
                <w:sz w:val="23"/>
                <w:szCs w:val="23"/>
              </w:rPr>
              <w:t xml:space="preserve"> регуляторного акту, та </w:t>
            </w:r>
            <w:proofErr w:type="spellStart"/>
            <w:r w:rsidRPr="0030346C">
              <w:rPr>
                <w:sz w:val="23"/>
                <w:szCs w:val="23"/>
              </w:rPr>
              <w:t>способи</w:t>
            </w:r>
            <w:proofErr w:type="spellEnd"/>
            <w:r w:rsidR="006B6598" w:rsidRPr="0030346C">
              <w:rPr>
                <w:sz w:val="23"/>
                <w:szCs w:val="23"/>
              </w:rPr>
              <w:t xml:space="preserve"> </w:t>
            </w:r>
            <w:proofErr w:type="spellStart"/>
            <w:r w:rsidRPr="0030346C">
              <w:rPr>
                <w:sz w:val="23"/>
                <w:szCs w:val="23"/>
              </w:rPr>
              <w:t>їх</w:t>
            </w:r>
            <w:proofErr w:type="spellEnd"/>
            <w:r w:rsidR="006B6598" w:rsidRPr="0030346C">
              <w:rPr>
                <w:sz w:val="23"/>
                <w:szCs w:val="23"/>
              </w:rPr>
              <w:t xml:space="preserve"> </w:t>
            </w:r>
            <w:proofErr w:type="spellStart"/>
            <w:r w:rsidRPr="0030346C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4952" w:type="dxa"/>
          </w:tcPr>
          <w:p w:rsidR="00F81616" w:rsidRPr="0030346C" w:rsidRDefault="00F81616" w:rsidP="00BA6475">
            <w:pPr>
              <w:jc w:val="both"/>
              <w:rPr>
                <w:color w:val="FF0000"/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 xml:space="preserve">У комунального підприємства не має показників результативності регуляторного акту, так як КП </w:t>
            </w:r>
            <w:r w:rsidR="00693D90" w:rsidRPr="00D57977">
              <w:rPr>
                <w:sz w:val="23"/>
                <w:szCs w:val="23"/>
                <w:lang w:val="uk-UA"/>
              </w:rPr>
              <w:t>«М</w:t>
            </w:r>
            <w:r w:rsidR="00693D90">
              <w:rPr>
                <w:sz w:val="23"/>
                <w:szCs w:val="23"/>
                <w:lang w:val="uk-UA"/>
              </w:rPr>
              <w:t>ІСЬКЕ ПАРКОВЕ ГОСПОДАРСТВО</w:t>
            </w:r>
            <w:r w:rsidR="00693D90" w:rsidRPr="00D57977">
              <w:rPr>
                <w:sz w:val="23"/>
                <w:szCs w:val="23"/>
                <w:lang w:val="uk-UA"/>
              </w:rPr>
              <w:t xml:space="preserve">» </w:t>
            </w:r>
            <w:r w:rsidRPr="0030346C">
              <w:rPr>
                <w:sz w:val="23"/>
                <w:szCs w:val="23"/>
                <w:lang w:val="uk-UA"/>
              </w:rPr>
              <w:t>не веде господарської діяльності та не надає платних послуг.</w:t>
            </w:r>
            <w:r w:rsidR="00FD1759">
              <w:rPr>
                <w:sz w:val="23"/>
                <w:szCs w:val="23"/>
                <w:lang w:val="uk-UA"/>
              </w:rPr>
              <w:t xml:space="preserve"> Роботи, що були передбачені даним рішенням наразі виконуються управлінням житлово-комунального господарства шляхом укладання тендерних договорів з виконавцями цих послуг. </w:t>
            </w:r>
          </w:p>
        </w:tc>
      </w:tr>
      <w:tr w:rsidR="00F81616" w:rsidRPr="006B6598" w:rsidTr="00057052"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30346C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4952" w:type="dxa"/>
          </w:tcPr>
          <w:p w:rsidR="00F81616" w:rsidRPr="00253519" w:rsidRDefault="002455D3" w:rsidP="00693D90">
            <w:pPr>
              <w:jc w:val="both"/>
              <w:rPr>
                <w:color w:val="FF0000"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 сьогоднішній день підприємство не веде господарську діяльність, у підприємства відсутні основні засоби та працівники, що не дозволяє надавати платні послуги </w:t>
            </w:r>
            <w:r w:rsidRPr="0030346C">
              <w:rPr>
                <w:sz w:val="23"/>
                <w:szCs w:val="23"/>
                <w:lang w:val="uk-UA"/>
              </w:rPr>
              <w:t xml:space="preserve">КП </w:t>
            </w:r>
            <w:r w:rsidR="00693D90" w:rsidRPr="0030346C">
              <w:rPr>
                <w:sz w:val="23"/>
                <w:szCs w:val="23"/>
                <w:lang w:val="uk-UA"/>
              </w:rPr>
              <w:t xml:space="preserve"> </w:t>
            </w:r>
            <w:r w:rsidR="00693D90" w:rsidRPr="00D57977">
              <w:rPr>
                <w:sz w:val="23"/>
                <w:szCs w:val="23"/>
                <w:lang w:val="uk-UA"/>
              </w:rPr>
              <w:t>«М</w:t>
            </w:r>
            <w:r w:rsidR="00693D90">
              <w:rPr>
                <w:sz w:val="23"/>
                <w:szCs w:val="23"/>
                <w:lang w:val="uk-UA"/>
              </w:rPr>
              <w:t>ІСЬКЕ ПАРКОВЕ ГОСПОДАРСТВО</w:t>
            </w:r>
            <w:r w:rsidR="00693D90" w:rsidRPr="00D57977">
              <w:rPr>
                <w:sz w:val="23"/>
                <w:szCs w:val="23"/>
                <w:lang w:val="uk-UA"/>
              </w:rPr>
              <w:t>»</w:t>
            </w:r>
            <w:r w:rsidR="00693D90">
              <w:rPr>
                <w:sz w:val="23"/>
                <w:szCs w:val="23"/>
                <w:lang w:val="uk-UA"/>
              </w:rPr>
              <w:t xml:space="preserve">. </w:t>
            </w:r>
            <w:r>
              <w:rPr>
                <w:sz w:val="23"/>
                <w:szCs w:val="23"/>
                <w:lang w:val="uk-UA"/>
              </w:rPr>
              <w:t xml:space="preserve">Станом на 01.08.2016 підприємство має податкову заборгованість в розмірі </w:t>
            </w:r>
            <w:r w:rsidRPr="00253519">
              <w:rPr>
                <w:sz w:val="23"/>
                <w:szCs w:val="23"/>
                <w:lang w:val="uk-UA"/>
              </w:rPr>
              <w:t>25,7</w:t>
            </w:r>
            <w:r>
              <w:rPr>
                <w:sz w:val="23"/>
                <w:szCs w:val="23"/>
                <w:lang w:val="uk-UA"/>
              </w:rPr>
              <w:t xml:space="preserve"> тис.грн.</w:t>
            </w:r>
            <w:r w:rsidR="00F81616" w:rsidRPr="00253519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81616" w:rsidRPr="006830A1" w:rsidTr="00057052">
        <w:trPr>
          <w:trHeight w:val="717"/>
        </w:trPr>
        <w:tc>
          <w:tcPr>
            <w:tcW w:w="635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9.</w:t>
            </w:r>
          </w:p>
        </w:tc>
        <w:tc>
          <w:tcPr>
            <w:tcW w:w="4474" w:type="dxa"/>
          </w:tcPr>
          <w:p w:rsidR="00F81616" w:rsidRPr="0030346C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30346C">
              <w:rPr>
                <w:sz w:val="23"/>
                <w:szCs w:val="23"/>
                <w:lang w:val="uk-UA"/>
              </w:rPr>
              <w:t>Оцінка результат</w:t>
            </w:r>
            <w:r w:rsidR="00255E0A">
              <w:rPr>
                <w:sz w:val="23"/>
                <w:szCs w:val="23"/>
                <w:lang w:val="uk-UA"/>
              </w:rPr>
              <w:t xml:space="preserve">ів реалізації регуляторного </w:t>
            </w:r>
            <w:proofErr w:type="spellStart"/>
            <w:r w:rsidR="00255E0A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4952" w:type="dxa"/>
          </w:tcPr>
          <w:p w:rsidR="00F81616" w:rsidRPr="00253519" w:rsidRDefault="00F81616" w:rsidP="00693D90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253519">
              <w:rPr>
                <w:sz w:val="23"/>
                <w:szCs w:val="23"/>
                <w:lang w:val="uk-UA"/>
              </w:rPr>
              <w:t>Проведення періодичного відстеження цього регуляторного акту визначає, що даний регуляторний акт не актуальний, тому управління економічної політики пропонує:</w:t>
            </w:r>
          </w:p>
          <w:p w:rsidR="006830A1" w:rsidRPr="00253519" w:rsidRDefault="00F81616" w:rsidP="00693D90">
            <w:pPr>
              <w:jc w:val="both"/>
              <w:rPr>
                <w:sz w:val="23"/>
                <w:szCs w:val="23"/>
                <w:lang w:val="uk-UA"/>
              </w:rPr>
            </w:pPr>
            <w:r w:rsidRPr="00253519">
              <w:rPr>
                <w:sz w:val="23"/>
                <w:szCs w:val="23"/>
                <w:shd w:val="clear" w:color="auto" w:fill="FFFFFF"/>
                <w:lang w:val="uk-UA"/>
              </w:rPr>
              <w:t>1) винести на розгляд виконавчого комітету Нікопольської міської ради проект рішення</w:t>
            </w:r>
            <w:r w:rsidRPr="00253519">
              <w:rPr>
                <w:sz w:val="23"/>
                <w:szCs w:val="23"/>
                <w:shd w:val="clear" w:color="auto" w:fill="FFFFFF"/>
              </w:rPr>
              <w:t> </w:t>
            </w:r>
            <w:r w:rsidRPr="00253519">
              <w:rPr>
                <w:sz w:val="23"/>
                <w:szCs w:val="23"/>
                <w:shd w:val="clear" w:color="auto" w:fill="FFFFFF"/>
                <w:lang w:val="uk-UA"/>
              </w:rPr>
              <w:t xml:space="preserve"> «</w:t>
            </w:r>
            <w:r w:rsidRPr="00253519">
              <w:rPr>
                <w:bCs/>
                <w:sz w:val="23"/>
                <w:szCs w:val="23"/>
                <w:lang w:val="uk-UA"/>
              </w:rPr>
              <w:t>Про втрату чинності р</w:t>
            </w:r>
            <w:r w:rsidRPr="00253519">
              <w:rPr>
                <w:sz w:val="23"/>
                <w:szCs w:val="23"/>
                <w:lang w:val="uk-UA"/>
              </w:rPr>
              <w:t xml:space="preserve">ішення виконавчого комітету Нікопольської міської ради </w:t>
            </w:r>
            <w:r w:rsidR="006830A1" w:rsidRPr="00253519">
              <w:rPr>
                <w:sz w:val="23"/>
                <w:szCs w:val="23"/>
                <w:lang w:val="uk-UA"/>
              </w:rPr>
              <w:t>від 10.10.2012 № 855 «Про встановлення цін на платні послуги, що надаються комунальним підприємством</w:t>
            </w:r>
            <w:r w:rsidR="00693D90" w:rsidRPr="0030346C">
              <w:rPr>
                <w:sz w:val="23"/>
                <w:szCs w:val="23"/>
                <w:lang w:val="uk-UA"/>
              </w:rPr>
              <w:t xml:space="preserve"> </w:t>
            </w:r>
            <w:r w:rsidR="00693D90" w:rsidRPr="00D57977">
              <w:rPr>
                <w:sz w:val="23"/>
                <w:szCs w:val="23"/>
                <w:lang w:val="uk-UA"/>
              </w:rPr>
              <w:t>«М</w:t>
            </w:r>
            <w:r w:rsidR="00693D90">
              <w:rPr>
                <w:sz w:val="23"/>
                <w:szCs w:val="23"/>
                <w:lang w:val="uk-UA"/>
              </w:rPr>
              <w:t>ІСЬКЕ ПАРКОВЕ ГОСПОДАРСТВО</w:t>
            </w:r>
            <w:r w:rsidR="00693D90" w:rsidRPr="00D57977">
              <w:rPr>
                <w:sz w:val="23"/>
                <w:szCs w:val="23"/>
                <w:lang w:val="uk-UA"/>
              </w:rPr>
              <w:t xml:space="preserve">» </w:t>
            </w:r>
            <w:r w:rsidR="006830A1" w:rsidRPr="00253519">
              <w:rPr>
                <w:sz w:val="23"/>
                <w:szCs w:val="23"/>
                <w:lang w:val="uk-UA"/>
              </w:rPr>
              <w:t>;</w:t>
            </w:r>
          </w:p>
          <w:p w:rsidR="00F81616" w:rsidRPr="00253519" w:rsidRDefault="00F81616" w:rsidP="00693D90">
            <w:pPr>
              <w:tabs>
                <w:tab w:val="left" w:pos="3135"/>
                <w:tab w:val="left" w:pos="6720"/>
              </w:tabs>
              <w:jc w:val="both"/>
              <w:rPr>
                <w:bCs/>
                <w:sz w:val="23"/>
                <w:szCs w:val="23"/>
                <w:lang w:val="uk-UA"/>
              </w:rPr>
            </w:pPr>
            <w:r w:rsidRPr="00253519">
              <w:rPr>
                <w:bCs/>
                <w:sz w:val="23"/>
                <w:szCs w:val="23"/>
                <w:lang w:val="uk-UA"/>
              </w:rPr>
              <w:t>2) після прийняття такого рішення виконкомом виключити регуляторний акт з переліку діючих регуляторних актів.</w:t>
            </w:r>
          </w:p>
        </w:tc>
      </w:tr>
    </w:tbl>
    <w:p w:rsidR="00F81616" w:rsidRDefault="00F81616">
      <w:pPr>
        <w:rPr>
          <w:sz w:val="23"/>
          <w:szCs w:val="23"/>
          <w:lang w:val="uk-UA"/>
        </w:rPr>
      </w:pPr>
      <w:r w:rsidRPr="006B6598">
        <w:rPr>
          <w:sz w:val="23"/>
          <w:szCs w:val="23"/>
          <w:lang w:val="uk-UA"/>
        </w:rPr>
        <w:t>Начальник управління економічної політики</w:t>
      </w:r>
      <w:r w:rsidRPr="006B6598">
        <w:rPr>
          <w:sz w:val="23"/>
          <w:szCs w:val="23"/>
          <w:lang w:val="uk-UA"/>
        </w:rPr>
        <w:tab/>
      </w:r>
      <w:r w:rsidRPr="006B6598">
        <w:rPr>
          <w:sz w:val="23"/>
          <w:szCs w:val="23"/>
          <w:lang w:val="uk-UA"/>
        </w:rPr>
        <w:tab/>
      </w:r>
      <w:r w:rsidRPr="006B6598">
        <w:rPr>
          <w:sz w:val="23"/>
          <w:szCs w:val="23"/>
          <w:lang w:val="uk-UA"/>
        </w:rPr>
        <w:tab/>
      </w:r>
      <w:r w:rsidRPr="006B6598">
        <w:rPr>
          <w:sz w:val="23"/>
          <w:szCs w:val="23"/>
          <w:lang w:val="uk-UA"/>
        </w:rPr>
        <w:tab/>
        <w:t>С.Д.</w:t>
      </w:r>
      <w:r w:rsidR="00147E6E" w:rsidRPr="006B6598">
        <w:rPr>
          <w:sz w:val="23"/>
          <w:szCs w:val="23"/>
          <w:lang w:val="uk-UA"/>
        </w:rPr>
        <w:t xml:space="preserve"> </w:t>
      </w:r>
      <w:r w:rsidRPr="006B6598">
        <w:rPr>
          <w:sz w:val="23"/>
          <w:szCs w:val="23"/>
          <w:lang w:val="uk-UA"/>
        </w:rPr>
        <w:t>Сідько</w:t>
      </w:r>
    </w:p>
    <w:p w:rsidR="00BA6475" w:rsidRPr="006B6598" w:rsidRDefault="00BA6475">
      <w:pPr>
        <w:rPr>
          <w:sz w:val="23"/>
          <w:szCs w:val="23"/>
          <w:lang w:val="uk-UA"/>
        </w:rPr>
      </w:pPr>
      <w:bookmarkStart w:id="0" w:name="_GoBack"/>
      <w:bookmarkEnd w:id="0"/>
    </w:p>
    <w:p w:rsidR="00147E6E" w:rsidRPr="006B6598" w:rsidRDefault="00147E6E">
      <w:pPr>
        <w:rPr>
          <w:sz w:val="23"/>
          <w:szCs w:val="23"/>
          <w:lang w:val="uk-UA"/>
        </w:rPr>
      </w:pPr>
      <w:r w:rsidRPr="006B6598">
        <w:rPr>
          <w:sz w:val="23"/>
          <w:szCs w:val="23"/>
          <w:lang w:val="uk-UA"/>
        </w:rPr>
        <w:t xml:space="preserve">Начальник відділу економіки комунальних </w:t>
      </w:r>
    </w:p>
    <w:p w:rsidR="00147E6E" w:rsidRPr="006B6598" w:rsidRDefault="00147E6E" w:rsidP="00147E6E">
      <w:pPr>
        <w:tabs>
          <w:tab w:val="left" w:pos="7088"/>
        </w:tabs>
        <w:rPr>
          <w:sz w:val="23"/>
          <w:szCs w:val="23"/>
          <w:lang w:val="uk-UA"/>
        </w:rPr>
      </w:pPr>
      <w:r w:rsidRPr="006B6598">
        <w:rPr>
          <w:sz w:val="23"/>
          <w:szCs w:val="23"/>
          <w:lang w:val="uk-UA"/>
        </w:rPr>
        <w:t xml:space="preserve">підприємств та бюджетної сфери                                                                  Н.В. </w:t>
      </w:r>
      <w:proofErr w:type="spellStart"/>
      <w:r w:rsidRPr="006B6598">
        <w:rPr>
          <w:sz w:val="23"/>
          <w:szCs w:val="23"/>
          <w:lang w:val="uk-UA"/>
        </w:rPr>
        <w:t>Чурикова</w:t>
      </w:r>
      <w:proofErr w:type="spellEnd"/>
    </w:p>
    <w:sectPr w:rsidR="00147E6E" w:rsidRPr="006B6598" w:rsidSect="00001FD1">
      <w:pgSz w:w="11906" w:h="16838" w:code="9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A5"/>
    <w:rsid w:val="00001FD1"/>
    <w:rsid w:val="000201A4"/>
    <w:rsid w:val="00057052"/>
    <w:rsid w:val="00070E21"/>
    <w:rsid w:val="00072043"/>
    <w:rsid w:val="00091C2D"/>
    <w:rsid w:val="00093D4C"/>
    <w:rsid w:val="000D433D"/>
    <w:rsid w:val="00140332"/>
    <w:rsid w:val="00143F7E"/>
    <w:rsid w:val="00147E6E"/>
    <w:rsid w:val="0015390D"/>
    <w:rsid w:val="00163D92"/>
    <w:rsid w:val="00170D4E"/>
    <w:rsid w:val="00174E22"/>
    <w:rsid w:val="00197207"/>
    <w:rsid w:val="001A0204"/>
    <w:rsid w:val="001B2C00"/>
    <w:rsid w:val="001C2154"/>
    <w:rsid w:val="001D243D"/>
    <w:rsid w:val="001E5970"/>
    <w:rsid w:val="001F6AB1"/>
    <w:rsid w:val="002455D3"/>
    <w:rsid w:val="002522A7"/>
    <w:rsid w:val="00253519"/>
    <w:rsid w:val="00255E0A"/>
    <w:rsid w:val="00261EC1"/>
    <w:rsid w:val="00274311"/>
    <w:rsid w:val="002A6831"/>
    <w:rsid w:val="002F1ABB"/>
    <w:rsid w:val="002F20B8"/>
    <w:rsid w:val="00302316"/>
    <w:rsid w:val="0030346C"/>
    <w:rsid w:val="00364F38"/>
    <w:rsid w:val="00386D75"/>
    <w:rsid w:val="003927DF"/>
    <w:rsid w:val="00397C76"/>
    <w:rsid w:val="003A5760"/>
    <w:rsid w:val="003D051B"/>
    <w:rsid w:val="003D69A6"/>
    <w:rsid w:val="00403CBB"/>
    <w:rsid w:val="00436A0E"/>
    <w:rsid w:val="004A6A51"/>
    <w:rsid w:val="004C1F93"/>
    <w:rsid w:val="004D58D4"/>
    <w:rsid w:val="004E5EE4"/>
    <w:rsid w:val="00551396"/>
    <w:rsid w:val="00584123"/>
    <w:rsid w:val="00586FAC"/>
    <w:rsid w:val="005877DD"/>
    <w:rsid w:val="005A2596"/>
    <w:rsid w:val="005B2EAD"/>
    <w:rsid w:val="005C01AD"/>
    <w:rsid w:val="005C05F4"/>
    <w:rsid w:val="005C4459"/>
    <w:rsid w:val="005F1FF9"/>
    <w:rsid w:val="00603E95"/>
    <w:rsid w:val="00640CE2"/>
    <w:rsid w:val="006830A1"/>
    <w:rsid w:val="00686255"/>
    <w:rsid w:val="00693D90"/>
    <w:rsid w:val="006B6598"/>
    <w:rsid w:val="006F1994"/>
    <w:rsid w:val="00794FE5"/>
    <w:rsid w:val="007C6985"/>
    <w:rsid w:val="008405A5"/>
    <w:rsid w:val="00846400"/>
    <w:rsid w:val="008A1CCE"/>
    <w:rsid w:val="008E38C0"/>
    <w:rsid w:val="00911950"/>
    <w:rsid w:val="00915670"/>
    <w:rsid w:val="00937141"/>
    <w:rsid w:val="00991AF5"/>
    <w:rsid w:val="009A110E"/>
    <w:rsid w:val="009A6548"/>
    <w:rsid w:val="009B24C6"/>
    <w:rsid w:val="009F3B4C"/>
    <w:rsid w:val="00A17CD6"/>
    <w:rsid w:val="00A40B13"/>
    <w:rsid w:val="00A42E18"/>
    <w:rsid w:val="00A63CC4"/>
    <w:rsid w:val="00A64B02"/>
    <w:rsid w:val="00A67A91"/>
    <w:rsid w:val="00A975CB"/>
    <w:rsid w:val="00AB3142"/>
    <w:rsid w:val="00AE5535"/>
    <w:rsid w:val="00B10969"/>
    <w:rsid w:val="00B245E4"/>
    <w:rsid w:val="00B24E98"/>
    <w:rsid w:val="00B66B89"/>
    <w:rsid w:val="00BA15D7"/>
    <w:rsid w:val="00BA6475"/>
    <w:rsid w:val="00BC38AE"/>
    <w:rsid w:val="00BD227F"/>
    <w:rsid w:val="00C0703E"/>
    <w:rsid w:val="00C24840"/>
    <w:rsid w:val="00C26286"/>
    <w:rsid w:val="00C30730"/>
    <w:rsid w:val="00C34C9F"/>
    <w:rsid w:val="00C62360"/>
    <w:rsid w:val="00C73851"/>
    <w:rsid w:val="00C94D04"/>
    <w:rsid w:val="00CB03E9"/>
    <w:rsid w:val="00CD7531"/>
    <w:rsid w:val="00D313C9"/>
    <w:rsid w:val="00D33A97"/>
    <w:rsid w:val="00D45CD0"/>
    <w:rsid w:val="00D57977"/>
    <w:rsid w:val="00D9100F"/>
    <w:rsid w:val="00DA747F"/>
    <w:rsid w:val="00DB326B"/>
    <w:rsid w:val="00DC3636"/>
    <w:rsid w:val="00DF1C5D"/>
    <w:rsid w:val="00E0092A"/>
    <w:rsid w:val="00E12273"/>
    <w:rsid w:val="00E2186B"/>
    <w:rsid w:val="00E621FF"/>
    <w:rsid w:val="00E77E34"/>
    <w:rsid w:val="00E85736"/>
    <w:rsid w:val="00EC2584"/>
    <w:rsid w:val="00F307D7"/>
    <w:rsid w:val="00F359DC"/>
    <w:rsid w:val="00F368D0"/>
    <w:rsid w:val="00F8049D"/>
    <w:rsid w:val="00F81616"/>
    <w:rsid w:val="00FA087B"/>
    <w:rsid w:val="00FA4B68"/>
    <w:rsid w:val="00FC6EB4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Администратор</cp:lastModifiedBy>
  <cp:revision>4</cp:revision>
  <cp:lastPrinted>2016-11-01T12:02:00Z</cp:lastPrinted>
  <dcterms:created xsi:type="dcterms:W3CDTF">2016-11-01T12:14:00Z</dcterms:created>
  <dcterms:modified xsi:type="dcterms:W3CDTF">2016-11-01T12:22:00Z</dcterms:modified>
</cp:coreProperties>
</file>